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4608" w14:textId="168663AB" w:rsidR="00C73949" w:rsidRDefault="00000000" w:rsidP="00643558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Introduction ‘Micro-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Credentialisation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’</w:t>
      </w:r>
    </w:p>
    <w:p w14:paraId="0C918DEE" w14:textId="77777777" w:rsidR="00C73949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Great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that you are keen on getting in touch with the topic of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in Higher Education. Welcome to this self-paced course! </w:t>
      </w:r>
    </w:p>
    <w:p w14:paraId="46FEA1F3" w14:textId="77777777" w:rsidR="00C7394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The training material offered in this unit, provides </w:t>
      </w:r>
      <w:r>
        <w:rPr>
          <w:rFonts w:ascii="Calibri" w:eastAsia="Calibri" w:hAnsi="Calibri" w:cs="Calibri"/>
          <w:sz w:val="28"/>
          <w:szCs w:val="28"/>
        </w:rPr>
        <w:t>functional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guidelines and suggestions on how teachers can design a course according to the idea of validated small learning units, which are eligible </w:t>
      </w:r>
      <w:r>
        <w:rPr>
          <w:rFonts w:ascii="Calibri" w:eastAsia="Calibri" w:hAnsi="Calibri" w:cs="Calibri"/>
          <w:sz w:val="28"/>
          <w:szCs w:val="28"/>
        </w:rPr>
        <w:t>for recognition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If considered from the beginning, following the </w:t>
      </w:r>
      <w:r>
        <w:rPr>
          <w:rFonts w:ascii="Calibri" w:eastAsia="Calibri" w:hAnsi="Calibri" w:cs="Calibri"/>
          <w:sz w:val="28"/>
          <w:szCs w:val="28"/>
        </w:rPr>
        <w:t>‘</w:t>
      </w:r>
      <w:r>
        <w:rPr>
          <w:rFonts w:ascii="Calibri" w:eastAsia="Calibri" w:hAnsi="Calibri" w:cs="Calibri"/>
          <w:color w:val="000000"/>
          <w:sz w:val="28"/>
          <w:szCs w:val="28"/>
        </w:rPr>
        <w:t>European Framework of Micro Credentials</w:t>
      </w:r>
      <w:r>
        <w:rPr>
          <w:rFonts w:ascii="Calibri" w:eastAsia="Calibri" w:hAnsi="Calibri" w:cs="Calibri"/>
          <w:sz w:val="28"/>
          <w:szCs w:val="28"/>
        </w:rPr>
        <w:t>’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the standard of the respective course will guarantee various advantages for the learners in your HE institution. Transparent assessment and the use of learning analytics data will help to create a meaningful digital credential for regular Study Courses as well as for </w:t>
      </w:r>
      <w:proofErr w:type="spellStart"/>
      <w:r>
        <w:rPr>
          <w:rFonts w:ascii="Calibri" w:eastAsia="Calibri" w:hAnsi="Calibri" w:cs="Calibri"/>
          <w:sz w:val="28"/>
          <w:szCs w:val="28"/>
        </w:rPr>
        <w:t>LifeLong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Learning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proofErr w:type="gramStart"/>
      <w:r>
        <w:rPr>
          <w:rFonts w:ascii="Calibri" w:eastAsia="Calibri" w:hAnsi="Calibri" w:cs="Calibri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(MC)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14:paraId="3197D3DA" w14:textId="77777777" w:rsidR="00C7394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This practical course aims for equipping and empowerment of educators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in order to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apply the concept of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to their portfolio of learning units. There are tools and templates to support the process of the design. A range of </w:t>
      </w:r>
      <w:r>
        <w:rPr>
          <w:rFonts w:ascii="Calibri" w:eastAsia="Calibri" w:hAnsi="Calibri" w:cs="Calibri"/>
          <w:sz w:val="28"/>
          <w:szCs w:val="28"/>
        </w:rPr>
        <w:t>exemplary practices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will illustrate the implementation of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</w:t>
      </w:r>
      <w:r>
        <w:rPr>
          <w:rFonts w:ascii="Calibri" w:eastAsia="Calibri" w:hAnsi="Calibri" w:cs="Calibri"/>
          <w:sz w:val="28"/>
          <w:szCs w:val="28"/>
        </w:rPr>
        <w:t>Credentials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in different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areas. Several self-reflective questi</w:t>
      </w:r>
      <w:r>
        <w:rPr>
          <w:rFonts w:ascii="Calibri" w:eastAsia="Calibri" w:hAnsi="Calibri" w:cs="Calibri"/>
          <w:sz w:val="28"/>
          <w:szCs w:val="28"/>
        </w:rPr>
        <w:t xml:space="preserve">ons and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practical tasks will give you the opportunity to check out the transfer to your teaching reality. </w:t>
      </w:r>
    </w:p>
    <w:p w14:paraId="28A70D3E" w14:textId="77777777" w:rsidR="00C7394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By the end of the course, you will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know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14:paraId="2BB3BC19" w14:textId="77777777" w:rsidR="00C73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is</w:t>
      </w:r>
    </w:p>
    <w:p w14:paraId="2943C3E1" w14:textId="77777777" w:rsidR="00C73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how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can be used for enabling recognition of learning outcomes</w:t>
      </w:r>
    </w:p>
    <w:p w14:paraId="27BE5C71" w14:textId="77777777" w:rsidR="00C73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the structure of the model and data of a European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4CED1C63" w14:textId="77777777" w:rsidR="00C73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how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transparent assessment and learning analytics contribute to the creation of 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F66EACA" w14:textId="77777777" w:rsidR="00C73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how to describe the elements for a European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, linked with a Virtual Learning Environment (VLE)</w:t>
      </w:r>
    </w:p>
    <w:p w14:paraId="6A4A25A4" w14:textId="77777777" w:rsidR="00C7394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how to issue a digital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based 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VLE</w:t>
      </w:r>
      <w:proofErr w:type="gramEnd"/>
    </w:p>
    <w:p w14:paraId="3992F1C0" w14:textId="77777777" w:rsidR="00C7394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The Training Material at hand ought to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motivate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and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enable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55511F2D" w14:textId="77777777" w:rsidR="00C73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design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your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-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course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425E5AE" w14:textId="77777777" w:rsidR="00C73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aligned with the features of a European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CE90001" w14:textId="77777777" w:rsidR="00C7394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based on a Virtual Learning Environment.</w:t>
      </w:r>
    </w:p>
    <w:p w14:paraId="71B1FE40" w14:textId="77777777" w:rsidR="00C7394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It is composed of three units and will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guide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you as HE teachers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through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5473DFED" w14:textId="77777777" w:rsidR="00C73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the process of describing learning offers in digital space</w:t>
      </w:r>
      <w:r>
        <w:rPr>
          <w:rFonts w:ascii="Calibri" w:eastAsia="Calibri" w:hAnsi="Calibri" w:cs="Calibri"/>
          <w:sz w:val="28"/>
          <w:szCs w:val="28"/>
        </w:rPr>
        <w:t xml:space="preserve">, </w:t>
      </w:r>
    </w:p>
    <w:p w14:paraId="7C62588B" w14:textId="77777777" w:rsidR="00C73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using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MicroCredential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descriptors, </w:t>
      </w:r>
    </w:p>
    <w:p w14:paraId="63EBB758" w14:textId="77777777" w:rsidR="00C73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so that your students are issued with the new concept of digital credentials (=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Micr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Credent</w:t>
      </w:r>
      <w:r>
        <w:rPr>
          <w:rFonts w:ascii="Calibri" w:eastAsia="Calibri" w:hAnsi="Calibri" w:cs="Calibri"/>
          <w:sz w:val="28"/>
          <w:szCs w:val="28"/>
        </w:rPr>
        <w:t>ials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) </w:t>
      </w:r>
    </w:p>
    <w:p w14:paraId="64E585B4" w14:textId="77777777" w:rsidR="00C7394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to transparently get their achievements to be recognised by other HEIs and employers. </w:t>
      </w:r>
    </w:p>
    <w:p w14:paraId="6B392A0C" w14:textId="77777777" w:rsidR="0064355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br/>
        <w:t xml:space="preserve">After all, </w:t>
      </w:r>
      <w:r>
        <w:rPr>
          <w:rFonts w:ascii="Calibri" w:eastAsia="Calibri" w:hAnsi="Calibri" w:cs="Calibri"/>
          <w:sz w:val="28"/>
          <w:szCs w:val="28"/>
        </w:rPr>
        <w:t xml:space="preserve">competences acquired in this course, combined with the implementation of the new learning, are supposed to help educators to utilise digital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MicroCredentials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as a means to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support the principles of learning outcome recognition and ECTS transfer among the European Higher Education Area (EHEA).</w:t>
      </w:r>
    </w:p>
    <w:p w14:paraId="60486F63" w14:textId="77777777" w:rsidR="0064355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 xml:space="preserve">The competence model of this course is </w:t>
      </w:r>
      <w:hyperlink r:id="rId8">
        <w:proofErr w:type="spellStart"/>
        <w:r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DigCompEdu</w:t>
        </w:r>
        <w:proofErr w:type="spellEnd"/>
      </w:hyperlink>
      <w:r>
        <w:rPr>
          <w:rFonts w:ascii="Calibri" w:eastAsia="Calibri" w:hAnsi="Calibri" w:cs="Calibri"/>
          <w:sz w:val="28"/>
          <w:szCs w:val="28"/>
        </w:rPr>
        <w:t xml:space="preserve"> and the </w:t>
      </w:r>
      <w:hyperlink r:id="rId9" w:anchor="/lessons/-qrRVVXYdSYE2diEedv2Q95A3ia-JpNm">
        <w:proofErr w:type="spellStart"/>
        <w:r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EdDiCo</w:t>
        </w:r>
        <w:proofErr w:type="spellEnd"/>
        <w:r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 xml:space="preserve"> Learning maturity Model</w:t>
        </w:r>
      </w:hyperlink>
      <w:r>
        <w:rPr>
          <w:rFonts w:ascii="Calibri" w:eastAsia="Calibri" w:hAnsi="Calibri" w:cs="Calibri"/>
          <w:sz w:val="28"/>
          <w:szCs w:val="28"/>
        </w:rPr>
        <w:t>.</w:t>
      </w:r>
    </w:p>
    <w:p w14:paraId="54474951" w14:textId="55E604E7" w:rsidR="00C73949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4A4A49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color w:val="000000"/>
          <w:sz w:val="28"/>
          <w:szCs w:val="28"/>
        </w:rPr>
        <w:br/>
      </w:r>
    </w:p>
    <w:p w14:paraId="44E46B8E" w14:textId="77777777" w:rsidR="0064355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Where do you stand? </w:t>
      </w:r>
    </w:p>
    <w:p w14:paraId="4DD49D17" w14:textId="09FEFF61" w:rsidR="00C7394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Please assess your knowledge and experience regarding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MicroCredentials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: 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color w:val="000000"/>
          <w:sz w:val="28"/>
          <w:szCs w:val="28"/>
        </w:rPr>
        <w:br/>
      </w:r>
    </w:p>
    <w:p w14:paraId="709B4E13" w14:textId="77777777" w:rsidR="00C73949" w:rsidRDefault="00000000">
      <w:pPr>
        <w:spacing w:after="240"/>
        <w:jc w:val="both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4A4A49"/>
          <w:sz w:val="28"/>
          <w:szCs w:val="28"/>
        </w:rPr>
        <w:t>Explorer</w:t>
      </w:r>
      <w:r>
        <w:rPr>
          <w:rFonts w:ascii="Calibri" w:eastAsia="Calibri" w:hAnsi="Calibri" w:cs="Calibri"/>
          <w:color w:val="4A4A49"/>
          <w:sz w:val="28"/>
          <w:szCs w:val="28"/>
        </w:rPr>
        <w:t xml:space="preserve">: I am aware of the process of designing </w:t>
      </w:r>
      <w:proofErr w:type="spellStart"/>
      <w:r>
        <w:rPr>
          <w:rFonts w:ascii="Calibri" w:eastAsia="Calibri" w:hAnsi="Calibri" w:cs="Calibri"/>
          <w:color w:val="4A4A49"/>
          <w:sz w:val="28"/>
          <w:szCs w:val="28"/>
        </w:rPr>
        <w:t>MicroCredentials</w:t>
      </w:r>
      <w:proofErr w:type="spellEnd"/>
      <w:r>
        <w:rPr>
          <w:rFonts w:ascii="Calibri" w:eastAsia="Calibri" w:hAnsi="Calibri" w:cs="Calibri"/>
          <w:color w:val="4A4A49"/>
          <w:sz w:val="28"/>
          <w:szCs w:val="28"/>
        </w:rPr>
        <w:t xml:space="preserve"> on the </w:t>
      </w:r>
      <w:r>
        <w:rPr>
          <w:rFonts w:ascii="Calibri" w:eastAsia="Calibri" w:hAnsi="Calibri" w:cs="Calibri"/>
          <w:color w:val="4A4A49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color w:val="4A4A49"/>
          <w:sz w:val="28"/>
          <w:szCs w:val="28"/>
        </w:rPr>
        <w:tab/>
        <w:t>levels of micro and macro curriculum level and the links and meta-data</w:t>
      </w:r>
      <w:r>
        <w:rPr>
          <w:rFonts w:ascii="Calibri" w:eastAsia="Calibri" w:hAnsi="Calibri" w:cs="Calibri"/>
          <w:color w:val="4A4A49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color w:val="4A4A49"/>
          <w:sz w:val="28"/>
          <w:szCs w:val="28"/>
        </w:rPr>
        <w:tab/>
        <w:t xml:space="preserve">between the credential and digital curriculum in a Virtual Learning  </w:t>
      </w:r>
      <w:r>
        <w:rPr>
          <w:rFonts w:ascii="Calibri" w:eastAsia="Calibri" w:hAnsi="Calibri" w:cs="Calibri"/>
          <w:color w:val="4A4A49"/>
          <w:sz w:val="28"/>
          <w:szCs w:val="28"/>
        </w:rPr>
        <w:br/>
      </w:r>
      <w:r>
        <w:rPr>
          <w:rFonts w:ascii="Calibri" w:eastAsia="Calibri" w:hAnsi="Calibri" w:cs="Calibri"/>
          <w:color w:val="4A4A49"/>
          <w:sz w:val="28"/>
          <w:szCs w:val="28"/>
        </w:rPr>
        <w:tab/>
        <w:t>Environment</w:t>
      </w:r>
    </w:p>
    <w:p w14:paraId="110F1D20" w14:textId="77777777" w:rsidR="00C73949" w:rsidRDefault="00000000">
      <w:pPr>
        <w:spacing w:after="240"/>
        <w:jc w:val="both"/>
        <w:rPr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4A4A49"/>
          <w:sz w:val="28"/>
          <w:szCs w:val="28"/>
        </w:rPr>
        <w:t>Expert</w:t>
      </w:r>
      <w:r>
        <w:rPr>
          <w:rFonts w:ascii="Calibri" w:eastAsia="Calibri" w:hAnsi="Calibri" w:cs="Calibri"/>
          <w:color w:val="4A4A49"/>
          <w:sz w:val="28"/>
          <w:szCs w:val="28"/>
        </w:rPr>
        <w:t xml:space="preserve">: I have advanced knowledge on the process of designing </w:t>
      </w:r>
      <w:r>
        <w:rPr>
          <w:rFonts w:ascii="Calibri" w:eastAsia="Calibri" w:hAnsi="Calibri" w:cs="Calibri"/>
          <w:color w:val="4A4A49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color w:val="4A4A49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color w:val="4A4A49"/>
          <w:sz w:val="28"/>
          <w:szCs w:val="28"/>
        </w:rPr>
        <w:t>MicroCredentials</w:t>
      </w:r>
      <w:proofErr w:type="spellEnd"/>
      <w:r>
        <w:rPr>
          <w:rFonts w:ascii="Calibri" w:eastAsia="Calibri" w:hAnsi="Calibri" w:cs="Calibri"/>
          <w:color w:val="4A4A49"/>
          <w:sz w:val="28"/>
          <w:szCs w:val="28"/>
        </w:rPr>
        <w:t xml:space="preserve"> on the levels of micro and macro curriculum level, and I </w:t>
      </w:r>
      <w:r>
        <w:rPr>
          <w:rFonts w:ascii="Calibri" w:eastAsia="Calibri" w:hAnsi="Calibri" w:cs="Calibri"/>
          <w:color w:val="4A4A49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color w:val="4A4A49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color w:val="4A4A49"/>
          <w:sz w:val="28"/>
          <w:szCs w:val="28"/>
        </w:rPr>
        <w:t>am able to</w:t>
      </w:r>
      <w:proofErr w:type="gramEnd"/>
      <w:r>
        <w:rPr>
          <w:rFonts w:ascii="Calibri" w:eastAsia="Calibri" w:hAnsi="Calibri" w:cs="Calibri"/>
          <w:color w:val="4A4A49"/>
          <w:sz w:val="28"/>
          <w:szCs w:val="28"/>
        </w:rPr>
        <w:t xml:space="preserve"> explain the links and meta-data between the credential and</w:t>
      </w:r>
      <w:r>
        <w:rPr>
          <w:rFonts w:ascii="Calibri" w:eastAsia="Calibri" w:hAnsi="Calibri" w:cs="Calibri"/>
          <w:color w:val="4A4A49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color w:val="4A4A49"/>
          <w:sz w:val="28"/>
          <w:szCs w:val="28"/>
        </w:rPr>
        <w:tab/>
        <w:t>digital curriculum in a Virtual Learning Environment</w:t>
      </w:r>
    </w:p>
    <w:p w14:paraId="5CD590FC" w14:textId="77777777" w:rsidR="00643558" w:rsidRDefault="00000000">
      <w:pPr>
        <w:jc w:val="both"/>
        <w:rPr>
          <w:rFonts w:ascii="Calibri" w:eastAsia="Calibri" w:hAnsi="Calibri" w:cs="Calibri"/>
          <w:color w:val="4A4A49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Pioneer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I have </w:t>
      </w:r>
      <w:r>
        <w:rPr>
          <w:rFonts w:ascii="Calibri" w:eastAsia="Calibri" w:hAnsi="Calibri" w:cs="Calibri"/>
          <w:color w:val="4A4A49"/>
          <w:sz w:val="28"/>
          <w:szCs w:val="28"/>
        </w:rPr>
        <w:t xml:space="preserve">comprehensive knowledge and/or experience of the </w:t>
      </w:r>
      <w:r>
        <w:rPr>
          <w:rFonts w:ascii="Calibri" w:eastAsia="Calibri" w:hAnsi="Calibri" w:cs="Calibri"/>
          <w:color w:val="4A4A49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color w:val="4A4A49"/>
          <w:sz w:val="28"/>
          <w:szCs w:val="28"/>
        </w:rPr>
        <w:tab/>
        <w:t xml:space="preserve">process of designing </w:t>
      </w:r>
      <w:proofErr w:type="spellStart"/>
      <w:r>
        <w:rPr>
          <w:rFonts w:ascii="Calibri" w:eastAsia="Calibri" w:hAnsi="Calibri" w:cs="Calibri"/>
          <w:color w:val="4A4A49"/>
          <w:sz w:val="28"/>
          <w:szCs w:val="28"/>
        </w:rPr>
        <w:t>MicroCredentials</w:t>
      </w:r>
      <w:proofErr w:type="spellEnd"/>
      <w:r>
        <w:rPr>
          <w:rFonts w:ascii="Calibri" w:eastAsia="Calibri" w:hAnsi="Calibri" w:cs="Calibri"/>
          <w:color w:val="4A4A49"/>
          <w:sz w:val="28"/>
          <w:szCs w:val="28"/>
        </w:rPr>
        <w:t xml:space="preserve"> on the levels of micro and macro </w:t>
      </w:r>
      <w:r>
        <w:rPr>
          <w:rFonts w:ascii="Calibri" w:eastAsia="Calibri" w:hAnsi="Calibri" w:cs="Calibri"/>
          <w:color w:val="4A4A49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color w:val="4A4A49"/>
          <w:sz w:val="28"/>
          <w:szCs w:val="28"/>
        </w:rPr>
        <w:tab/>
        <w:t xml:space="preserve">curriculum level and the links and meta-data between the credential and </w:t>
      </w:r>
      <w:r>
        <w:rPr>
          <w:rFonts w:ascii="Calibri" w:eastAsia="Calibri" w:hAnsi="Calibri" w:cs="Calibri"/>
          <w:color w:val="4A4A49"/>
          <w:sz w:val="28"/>
          <w:szCs w:val="28"/>
        </w:rPr>
        <w:br/>
        <w:t xml:space="preserve"> </w:t>
      </w:r>
      <w:r>
        <w:rPr>
          <w:rFonts w:ascii="Calibri" w:eastAsia="Calibri" w:hAnsi="Calibri" w:cs="Calibri"/>
          <w:color w:val="4A4A49"/>
          <w:sz w:val="28"/>
          <w:szCs w:val="28"/>
        </w:rPr>
        <w:tab/>
        <w:t>digital curriculum in Virtual Learning Environment</w:t>
      </w:r>
    </w:p>
    <w:p w14:paraId="0BDD0F99" w14:textId="082802E5" w:rsidR="00C73949" w:rsidRDefault="00C73949">
      <w:pPr>
        <w:jc w:val="both"/>
      </w:pPr>
    </w:p>
    <w:sectPr w:rsidR="00C739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151A" w14:textId="77777777" w:rsidR="00560881" w:rsidRDefault="00560881">
      <w:r>
        <w:separator/>
      </w:r>
    </w:p>
  </w:endnote>
  <w:endnote w:type="continuationSeparator" w:id="0">
    <w:p w14:paraId="264A388D" w14:textId="77777777" w:rsidR="00560881" w:rsidRDefault="0056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C6E0" w14:textId="77777777" w:rsidR="00C73949" w:rsidRDefault="00C73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9548" w14:textId="77777777" w:rsidR="00C73949" w:rsidRDefault="00000000">
    <w:pPr>
      <w:spacing w:line="276" w:lineRule="auto"/>
      <w:rPr>
        <w:rFonts w:ascii="Arial" w:eastAsia="Arial" w:hAnsi="Arial" w:cs="Arial"/>
        <w:i/>
      </w:rPr>
    </w:pPr>
    <w:r>
      <w:pict w14:anchorId="04282801">
        <v:rect id="_x0000_i1026" style="width:0;height:1.5pt" o:hralign="center" o:hrstd="t" o:hr="t" fillcolor="#a0a0a0" stroked="f"/>
      </w:pict>
    </w:r>
  </w:p>
  <w:p w14:paraId="0B36AD2C" w14:textId="77777777" w:rsidR="00C73949" w:rsidRDefault="00000000">
    <w:pPr>
      <w:spacing w:line="276" w:lineRule="auto"/>
      <w:rPr>
        <w:rFonts w:ascii="Arial" w:eastAsia="Arial" w:hAnsi="Arial" w:cs="Arial"/>
        <w:i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3934F69" wp14:editId="155A2698">
          <wp:simplePos x="0" y="0"/>
          <wp:positionH relativeFrom="column">
            <wp:posOffset>3</wp:posOffset>
          </wp:positionH>
          <wp:positionV relativeFrom="paragraph">
            <wp:posOffset>165432</wp:posOffset>
          </wp:positionV>
          <wp:extent cx="838200" cy="295275"/>
          <wp:effectExtent l="0" t="0" r="0" b="0"/>
          <wp:wrapSquare wrapText="bothSides" distT="114300" distB="114300" distL="114300" distR="114300"/>
          <wp:docPr id="5" name="image1.png" descr="Creative Commons licenci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ci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9E256F" w14:textId="77777777" w:rsidR="00C73949" w:rsidRDefault="00000000">
    <w:pPr>
      <w:tabs>
        <w:tab w:val="center" w:pos="4536"/>
        <w:tab w:val="right" w:pos="9072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Training material "Ensuring digital and micro-credentialization of learning as a part of transparent assessment for recognition of learning outcomes" by </w:t>
    </w:r>
    <w:hyperlink r:id="rId2">
      <w:r>
        <w:rPr>
          <w:rFonts w:ascii="Arial" w:eastAsia="Arial" w:hAnsi="Arial" w:cs="Arial"/>
          <w:sz w:val="18"/>
          <w:szCs w:val="18"/>
        </w:rPr>
        <w:t>Göz U., Cepauskiene R</w:t>
      </w:r>
    </w:hyperlink>
    <w:r>
      <w:rPr>
        <w:rFonts w:ascii="Arial" w:eastAsia="Arial" w:hAnsi="Arial" w:cs="Arial"/>
        <w:sz w:val="18"/>
        <w:szCs w:val="18"/>
      </w:rPr>
      <w:t xml:space="preserve">.,  is licensed under a </w:t>
    </w:r>
    <w:hyperlink r:id="rId3">
      <w:r>
        <w:rPr>
          <w:rFonts w:ascii="Arial" w:eastAsia="Arial" w:hAnsi="Arial" w:cs="Arial"/>
          <w:color w:val="1155CC"/>
          <w:sz w:val="18"/>
          <w:szCs w:val="18"/>
        </w:rPr>
        <w:t>Creative Commons Attribution-</w:t>
      </w:r>
      <w:proofErr w:type="spellStart"/>
      <w:r>
        <w:rPr>
          <w:rFonts w:ascii="Arial" w:eastAsia="Arial" w:hAnsi="Arial" w:cs="Arial"/>
          <w:color w:val="1155CC"/>
          <w:sz w:val="18"/>
          <w:szCs w:val="18"/>
        </w:rPr>
        <w:t>ShareAlike</w:t>
      </w:r>
      <w:proofErr w:type="spellEnd"/>
      <w:r>
        <w:rPr>
          <w:rFonts w:ascii="Arial" w:eastAsia="Arial" w:hAnsi="Arial" w:cs="Arial"/>
          <w:color w:val="1155CC"/>
          <w:sz w:val="18"/>
          <w:szCs w:val="18"/>
        </w:rPr>
        <w:t xml:space="preserve"> 4.0 International License</w:t>
      </w:r>
    </w:hyperlink>
  </w:p>
  <w:p w14:paraId="0D0EF2DC" w14:textId="77777777" w:rsidR="00C73949" w:rsidRDefault="00000000">
    <w:pPr>
      <w:tabs>
        <w:tab w:val="center" w:pos="4536"/>
        <w:tab w:val="right" w:pos="9072"/>
      </w:tabs>
      <w:jc w:val="right"/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643558"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C407" w14:textId="77777777" w:rsidR="00C73949" w:rsidRDefault="00C73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CC26" w14:textId="77777777" w:rsidR="00560881" w:rsidRDefault="00560881">
      <w:r>
        <w:separator/>
      </w:r>
    </w:p>
  </w:footnote>
  <w:footnote w:type="continuationSeparator" w:id="0">
    <w:p w14:paraId="68DF70B8" w14:textId="77777777" w:rsidR="00560881" w:rsidRDefault="0056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5039" w14:textId="77777777" w:rsidR="00C73949" w:rsidRDefault="00C73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8B14" w14:textId="77777777" w:rsidR="00C73949" w:rsidRDefault="00000000">
    <w:pPr>
      <w:jc w:val="center"/>
      <w:rPr>
        <w:i/>
      </w:rPr>
    </w:pPr>
    <w:r>
      <w:rPr>
        <w:sz w:val="24"/>
        <w:szCs w:val="24"/>
      </w:rPr>
      <w:t xml:space="preserve"> </w:t>
    </w:r>
    <w:r>
      <w:rPr>
        <w:i/>
      </w:rPr>
      <w:t xml:space="preserve">Training Material for HE Teachers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F06ADC0" wp14:editId="5E446841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16066B9" wp14:editId="6A518A44">
          <wp:simplePos x="0" y="0"/>
          <wp:positionH relativeFrom="column">
            <wp:posOffset>3905250</wp:posOffset>
          </wp:positionH>
          <wp:positionV relativeFrom="paragraph">
            <wp:posOffset>28580</wp:posOffset>
          </wp:positionV>
          <wp:extent cx="2033588" cy="430182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5D8A28" w14:textId="77777777" w:rsidR="00C73949" w:rsidRDefault="00000000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i/>
      </w:rPr>
      <w:t>DHBV_EDEN</w:t>
    </w:r>
  </w:p>
  <w:p w14:paraId="5589FF2A" w14:textId="77777777" w:rsidR="00C73949" w:rsidRDefault="00C73949">
    <w:pPr>
      <w:spacing w:line="276" w:lineRule="auto"/>
      <w:jc w:val="center"/>
      <w:rPr>
        <w:rFonts w:ascii="Arial" w:eastAsia="Arial" w:hAnsi="Arial" w:cs="Arial"/>
        <w:i/>
      </w:rPr>
    </w:pPr>
  </w:p>
  <w:p w14:paraId="2A0ED7E9" w14:textId="77777777" w:rsidR="00C73949" w:rsidRDefault="00000000">
    <w:pPr>
      <w:spacing w:line="276" w:lineRule="auto"/>
      <w:rPr>
        <w:rFonts w:ascii="Calibri" w:eastAsia="Calibri" w:hAnsi="Calibri" w:cs="Calibri"/>
      </w:rPr>
    </w:pPr>
    <w:r>
      <w:pict w14:anchorId="55324259">
        <v:rect id="_x0000_i1025" style="width:0;height:1.5pt" o:hralign="center" o:hrstd="t" o:hr="t" fillcolor="#a0a0a0" stroked="f"/>
      </w:pict>
    </w:r>
  </w:p>
  <w:p w14:paraId="167DBD78" w14:textId="77777777" w:rsidR="00C73949" w:rsidRDefault="00C73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348B" w14:textId="77777777" w:rsidR="00C73949" w:rsidRDefault="00C739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6E3"/>
    <w:multiLevelType w:val="multilevel"/>
    <w:tmpl w:val="CAEEA0E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66289F"/>
    <w:multiLevelType w:val="multilevel"/>
    <w:tmpl w:val="3E965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827273"/>
    <w:multiLevelType w:val="multilevel"/>
    <w:tmpl w:val="FA0A1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3047380">
    <w:abstractNumId w:val="2"/>
  </w:num>
  <w:num w:numId="2" w16cid:durableId="1891188832">
    <w:abstractNumId w:val="0"/>
  </w:num>
  <w:num w:numId="3" w16cid:durableId="1457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49"/>
    <w:rsid w:val="00560881"/>
    <w:rsid w:val="00643558"/>
    <w:rsid w:val="00C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E0AEB"/>
  <w15:docId w15:val="{3AD19821-FD91-4CBA-A7E9-EC73143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nutes">
    <w:name w:val="Minutes"/>
    <w:basedOn w:val="Normal"/>
    <w:link w:val="MinutesZchn"/>
    <w:qFormat/>
    <w:rsid w:val="005F5265"/>
    <w:pPr>
      <w:ind w:left="-170"/>
      <w:outlineLvl w:val="0"/>
    </w:pPr>
    <w:rPr>
      <w:rFonts w:ascii="Calibri" w:hAnsi="Calibri"/>
      <w:sz w:val="24"/>
      <w:szCs w:val="24"/>
    </w:rPr>
  </w:style>
  <w:style w:type="character" w:customStyle="1" w:styleId="MinutesZchn">
    <w:name w:val="Minutes Zchn"/>
    <w:basedOn w:val="DefaultParagraphFont"/>
    <w:link w:val="Minutes"/>
    <w:rsid w:val="005F5265"/>
    <w:rPr>
      <w:rFonts w:ascii="Calibri" w:hAnsi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7E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0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0FA"/>
  </w:style>
  <w:style w:type="paragraph" w:styleId="Footer">
    <w:name w:val="footer"/>
    <w:basedOn w:val="Normal"/>
    <w:link w:val="FooterChar"/>
    <w:uiPriority w:val="99"/>
    <w:unhideWhenUsed/>
    <w:rsid w:val="00DA00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0FA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4B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t-research-centre.ec.europa.eu/digcompedu_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dico.eu/wp-content/uploads/sites/24/2022/01/content/learning-maturity-model-for-digital-education-competence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hyperlink" Target="https://teacamp.vdu.lt/course/view.php?id=103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3/7Az+85Ykd/ETjCsuiuO6aRWQ==">CgMxLjA4AHIhMXBuR3BOdXkyOVlWY1pVRkxjSXBELWpUMHZCd00tRzls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2442</Words>
  <Characters>1393</Characters>
  <Application>Microsoft Office Word</Application>
  <DocSecurity>0</DocSecurity>
  <Lines>11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Göz, Ursula</dc:creator>
  <cp:lastModifiedBy>Rimantė Čepauskienė</cp:lastModifiedBy>
  <cp:revision>2</cp:revision>
  <dcterms:created xsi:type="dcterms:W3CDTF">2023-02-15T22:04:00Z</dcterms:created>
  <dcterms:modified xsi:type="dcterms:W3CDTF">2023-07-04T10:31:00Z</dcterms:modified>
</cp:coreProperties>
</file>