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240" w:before="240" w:line="276" w:lineRule="auto"/>
        <w:rPr>
          <w:rFonts w:ascii="Calibri" w:cs="Calibri" w:eastAsia="Calibri" w:hAnsi="Calibri"/>
          <w:b w:val="1"/>
          <w:color w:val="000000"/>
          <w:sz w:val="30"/>
          <w:szCs w:val="30"/>
        </w:rPr>
      </w:pPr>
      <w:bookmarkStart w:colFirst="0" w:colLast="0" w:name="_heading=h.it0u85nt9ojh" w:id="0"/>
      <w:bookmarkEnd w:id="0"/>
      <w:r w:rsidDel="00000000" w:rsidR="00000000" w:rsidRPr="00000000">
        <w:rPr>
          <w:rFonts w:ascii="Calibri" w:cs="Calibri" w:eastAsia="Calibri" w:hAnsi="Calibri"/>
          <w:b w:val="1"/>
          <w:sz w:val="30"/>
          <w:szCs w:val="30"/>
          <w:rtl w:val="0"/>
        </w:rPr>
        <w:t xml:space="preserve">2 skyrius.</w:t>
      </w:r>
      <w:r w:rsidDel="00000000" w:rsidR="00000000" w:rsidRPr="00000000">
        <w:rPr>
          <w:color w:val="000000"/>
          <w:sz w:val="14"/>
          <w:szCs w:val="14"/>
          <w:rtl w:val="0"/>
        </w:rPr>
        <w:t xml:space="preserve"> </w:t>
      </w:r>
      <w:r w:rsidDel="00000000" w:rsidR="00000000" w:rsidRPr="00000000">
        <w:rPr>
          <w:rFonts w:ascii="Calibri" w:cs="Calibri" w:eastAsia="Calibri" w:hAnsi="Calibri"/>
          <w:b w:val="1"/>
          <w:sz w:val="30"/>
          <w:szCs w:val="30"/>
          <w:rtl w:val="0"/>
        </w:rPr>
        <w:t xml:space="preserve">Įrodymais pagrįstų duomenų analizė ir interpretavimas siekiant suteikti informaciją apie mokymą ir mokymąsi</w:t>
      </w:r>
      <w:r w:rsidDel="00000000" w:rsidR="00000000" w:rsidRPr="00000000">
        <w:rPr>
          <w:rtl w:val="0"/>
        </w:rPr>
      </w:r>
    </w:p>
    <w:p w:rsidR="00000000" w:rsidDel="00000000" w:rsidP="00000000" w:rsidRDefault="00000000" w:rsidRPr="00000000" w14:paraId="00000002">
      <w:pPr>
        <w:spacing w:line="276" w:lineRule="auto"/>
        <w:ind w:firstLine="280"/>
        <w:jc w:val="center"/>
        <w:rPr>
          <w:rFonts w:ascii="Calibri" w:cs="Calibri" w:eastAsia="Calibri" w:hAnsi="Calibri"/>
          <w:b w:val="1"/>
          <w:color w:val="000000"/>
          <w:sz w:val="30"/>
          <w:szCs w:val="30"/>
        </w:rPr>
      </w:pPr>
      <w:bookmarkStart w:colFirst="0" w:colLast="0" w:name="_heading=h.gjdgxs" w:id="1"/>
      <w:bookmarkEnd w:id="1"/>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3</wp:posOffset>
            </wp:positionH>
            <wp:positionV relativeFrom="paragraph">
              <wp:posOffset>47625</wp:posOffset>
            </wp:positionV>
            <wp:extent cx="6081713" cy="3248025"/>
            <wp:effectExtent b="0" l="0" r="0" t="0"/>
            <wp:wrapSquare wrapText="bothSides" distB="19050" distT="19050" distL="19050" distR="19050"/>
            <wp:docPr id="4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6081713" cy="3248025"/>
                    </a:xfrm>
                    <a:prstGeom prst="rect"/>
                    <a:ln/>
                  </pic:spPr>
                </pic:pic>
              </a:graphicData>
            </a:graphic>
          </wp:anchor>
        </w:drawing>
      </w:r>
    </w:p>
    <w:p w:rsidR="00000000" w:rsidDel="00000000" w:rsidP="00000000" w:rsidRDefault="00000000" w:rsidRPr="00000000" w14:paraId="00000003">
      <w:pPr>
        <w:spacing w:after="120" w:line="276" w:lineRule="auto"/>
        <w:ind w:firstLine="280"/>
        <w:jc w:val="both"/>
        <w:rPr>
          <w:rFonts w:ascii="Georgia" w:cs="Georgia" w:eastAsia="Georgia" w:hAnsi="Georgia"/>
          <w:color w:val="333333"/>
          <w:sz w:val="18"/>
          <w:szCs w:val="18"/>
        </w:rPr>
      </w:pPr>
      <w:bookmarkStart w:colFirst="0" w:colLast="0" w:name="_heading=h.wxjwn9cun9sb" w:id="2"/>
      <w:bookmarkEnd w:id="2"/>
      <w:r w:rsidDel="00000000" w:rsidR="00000000" w:rsidRPr="00000000">
        <w:rPr>
          <w:rFonts w:ascii="Calibri" w:cs="Calibri" w:eastAsia="Calibri" w:hAnsi="Calibri"/>
          <w:color w:val="000000"/>
          <w:rtl w:val="0"/>
        </w:rPr>
        <w:t xml:space="preserve">1 pav. </w:t>
      </w:r>
      <w:r w:rsidDel="00000000" w:rsidR="00000000" w:rsidRPr="00000000">
        <w:rPr>
          <w:rFonts w:ascii="Calibri" w:cs="Calibri" w:eastAsia="Calibri" w:hAnsi="Calibri"/>
          <w:rtl w:val="0"/>
        </w:rPr>
        <w:t xml:space="preserve">Mokymosi analizė kaip metakognityvinis įrankis studentų akademinei sėkmei didinti</w:t>
      </w:r>
      <w:r w:rsidDel="00000000" w:rsidR="00000000" w:rsidRPr="00000000">
        <w:rPr>
          <w:rFonts w:ascii="Calibri" w:cs="Calibri" w:eastAsia="Calibri" w:hAnsi="Calibri"/>
          <w:color w:val="000000"/>
          <w:rtl w:val="0"/>
        </w:rPr>
        <w:t xml:space="preserve"> (Volungeviciene et al., 2021, p.175)</w:t>
      </w: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pacing w:after="120" w:before="400" w:lineRule="auto"/>
        <w:rPr>
          <w:color w:val="000000"/>
          <w:sz w:val="28"/>
          <w:szCs w:val="28"/>
        </w:rPr>
      </w:pPr>
      <w:bookmarkStart w:colFirst="0" w:colLast="0" w:name="_heading=h.llpn4dbjlliy" w:id="3"/>
      <w:bookmarkEnd w:id="3"/>
      <w:r w:rsidDel="00000000" w:rsidR="00000000" w:rsidRPr="00000000">
        <w:rPr>
          <w:sz w:val="40"/>
          <w:szCs w:val="40"/>
          <w:rtl w:val="0"/>
        </w:rPr>
        <w:t xml:space="preserve">ĮVADAS</w:t>
      </w:r>
      <w:r w:rsidDel="00000000" w:rsidR="00000000" w:rsidRPr="00000000">
        <w:rPr>
          <w:rtl w:val="0"/>
        </w:rPr>
      </w:r>
    </w:p>
    <w:p w:rsidR="00000000" w:rsidDel="00000000" w:rsidP="00000000" w:rsidRDefault="00000000" w:rsidRPr="00000000" w14:paraId="00000005">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Pagal DigCompEdu modelį (Punie ir Redecker, 2017), įrodymų analizė yra vertinimo kompetencijos dalis ir reiškia, kad reikia kurti, atrinkti, kritiškai analizuoti ir interpretuoti skaitmeninius įrodymus apie besimokančiojo veiklą, rezultatus ir pažangą, siekiant gauti informacijos apie mokymą ir mokymąsi. </w:t>
      </w:r>
    </w:p>
    <w:p w:rsidR="00000000" w:rsidDel="00000000" w:rsidP="00000000" w:rsidRDefault="00000000" w:rsidRPr="00000000" w14:paraId="00000006">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Taikydami mokymosi duomenų analizę ir analizuodami įrodymus, dėstytojai gali koreguoti ir pritaikyti studijų dalyko turinį, kad jis atitiktų besimokančiųjų poreikius ir gebėjimus. Mokymosi duomenų analizė taip pat naudinga dėstytojams planuojant studijų dalyko turinio ir vertinimo strategijų koregavimą mokymosi metu pagal studentų poreikius, todėl mokymosi procesas ir vykdomi pokyčiai tampa labiau individualizuoti.</w:t>
      </w:r>
    </w:p>
    <w:p w:rsidR="00000000" w:rsidDel="00000000" w:rsidP="00000000" w:rsidRDefault="00000000" w:rsidRPr="00000000" w14:paraId="00000007">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Mokymosi duomenų analizė suteikia vertingos informacijos ir įžvalgų ne tik dėstytojams, bet ir studentams. Iš tiesų šie duomenys skatina besimokančiųjų kognityvinius gebėjimus, stipresnį bendruomeniškumo jausmą (Trespalacios ir Perkins, 2016) ir skatina aktyvesnį besimokančiųjų įsitraukimą. Kaip mini Sclater et. al. (2016), yra įvairių būdų analizuoti ir interpretuoti įrodymus, pavyzdžiui, pasitelkiant </w:t>
      </w:r>
      <w:r w:rsidDel="00000000" w:rsidR="00000000" w:rsidRPr="00000000">
        <w:rPr>
          <w:rFonts w:ascii="Calibri" w:cs="Calibri" w:eastAsia="Calibri" w:hAnsi="Calibri"/>
          <w:b w:val="1"/>
          <w:rtl w:val="0"/>
        </w:rPr>
        <w:t xml:space="preserve">prognozavimo modelius</w:t>
      </w:r>
      <w:r w:rsidDel="00000000" w:rsidR="00000000" w:rsidRPr="00000000">
        <w:rPr>
          <w:rFonts w:ascii="Calibri" w:cs="Calibri" w:eastAsia="Calibri" w:hAnsi="Calibri"/>
          <w:rtl w:val="0"/>
        </w:rPr>
        <w:t xml:space="preserve"> (žr. konceptualią įžangą), s</w:t>
      </w:r>
      <w:r w:rsidDel="00000000" w:rsidR="00000000" w:rsidRPr="00000000">
        <w:rPr>
          <w:rFonts w:ascii="Calibri" w:cs="Calibri" w:eastAsia="Calibri" w:hAnsi="Calibri"/>
          <w:b w:val="1"/>
          <w:rtl w:val="0"/>
        </w:rPr>
        <w:t xml:space="preserve">ocialinių tinklų analizę</w:t>
      </w:r>
      <w:r w:rsidDel="00000000" w:rsidR="00000000" w:rsidRPr="00000000">
        <w:rPr>
          <w:rFonts w:ascii="Calibri" w:cs="Calibri" w:eastAsia="Calibri" w:hAnsi="Calibri"/>
          <w:rtl w:val="0"/>
        </w:rPr>
        <w:t xml:space="preserve">, parodant sąveikas diskusijų forumuose (Holmes et al., 2019). Tokiu būdu galima </w:t>
      </w:r>
      <w:r w:rsidDel="00000000" w:rsidR="00000000" w:rsidRPr="00000000">
        <w:rPr>
          <w:rFonts w:ascii="Calibri" w:cs="Calibri" w:eastAsia="Calibri" w:hAnsi="Calibri"/>
          <w:b w:val="1"/>
          <w:rtl w:val="0"/>
        </w:rPr>
        <w:t xml:space="preserve">personalizuoti mokymąsi</w:t>
      </w:r>
      <w:r w:rsidDel="00000000" w:rsidR="00000000" w:rsidRPr="00000000">
        <w:rPr>
          <w:rFonts w:ascii="Calibri" w:cs="Calibri" w:eastAsia="Calibri" w:hAnsi="Calibri"/>
          <w:rtl w:val="0"/>
        </w:rPr>
        <w:t xml:space="preserve">, nukreipiant besimokančiuosius jų mokymosi kelyje, teikiant jiems rekomendacijas ir įrodymus apie jų mokymosi pažangą.</w:t>
      </w:r>
    </w:p>
    <w:p w:rsidR="00000000" w:rsidDel="00000000" w:rsidP="00000000" w:rsidRDefault="00000000" w:rsidRPr="00000000" w14:paraId="00000008">
      <w:pPr>
        <w:spacing w:after="240" w:before="240" w:line="360" w:lineRule="auto"/>
        <w:jc w:val="both"/>
        <w:rPr>
          <w:rFonts w:ascii="Calibri" w:cs="Calibri" w:eastAsia="Calibri" w:hAnsi="Calibri"/>
        </w:rPr>
      </w:pPr>
      <w:r w:rsidDel="00000000" w:rsidR="00000000" w:rsidRPr="00000000">
        <w:rPr>
          <w:rFonts w:ascii="Calibri" w:cs="Calibri" w:eastAsia="Calibri" w:hAnsi="Calibri"/>
          <w:rtl w:val="0"/>
        </w:rPr>
        <w:t xml:space="preserve">Kalbant apie studentų mokymosi personalizavimą yra svarbu pastebėti, kad dažnu atveju mokymosi turinio kūrimo sprendimai nėra nuoseklūs visiems besimokantiesiems. Priešingai, dėstytojų kuriamas mokymosi turinys dažniausiai yra orientuotas į plačią temą, apimančią daug skirtingų išteklių, tad ir besimokančiųjų elgesio modeliai yra skirtingi. </w:t>
      </w:r>
    </w:p>
    <w:p w:rsidR="00000000" w:rsidDel="00000000" w:rsidP="00000000" w:rsidRDefault="00000000" w:rsidRPr="00000000" w14:paraId="00000009">
      <w:pPr>
        <w:spacing w:before="240" w:line="276" w:lineRule="auto"/>
        <w:jc w:val="both"/>
        <w:rPr>
          <w:rFonts w:ascii="Calibri" w:cs="Calibri" w:eastAsia="Calibri" w:hAnsi="Calibri"/>
        </w:rPr>
      </w:pPr>
      <w:r w:rsidDel="00000000" w:rsidR="00000000" w:rsidRPr="00000000">
        <w:rPr>
          <w:rFonts w:ascii="Calibri" w:cs="Calibri" w:eastAsia="Calibri" w:hAnsi="Calibri"/>
          <w:b w:val="1"/>
          <w:sz w:val="22"/>
          <w:szCs w:val="22"/>
          <w:rtl w:val="0"/>
        </w:rPr>
        <w:t xml:space="preserve">Svarbu</w:t>
      </w:r>
      <w:r w:rsidDel="00000000" w:rsidR="00000000" w:rsidRPr="00000000">
        <w:rPr>
          <w:rFonts w:ascii="Calibri" w:cs="Calibri" w:eastAsia="Calibri" w:hAnsi="Calibri"/>
          <w:b w:val="1"/>
          <w:sz w:val="22"/>
          <w:szCs w:val="22"/>
          <w:rtl w:val="0"/>
        </w:rPr>
        <w:t xml:space="preserve">!</w:t>
      </w:r>
      <w:r w:rsidDel="00000000" w:rsidR="00000000" w:rsidRPr="00000000">
        <w:rPr>
          <w:rFonts w:ascii="Calibri" w:cs="Calibri" w:eastAsia="Calibri" w:hAnsi="Calibri"/>
          <w:sz w:val="22"/>
          <w:szCs w:val="22"/>
          <w:rtl w:val="0"/>
        </w:rPr>
        <w:t xml:space="preserve"> Siekiant skaidrumo, svarbu, kad studentai nuo pat pirmos paskaitos žinotų, jog dėstytojas gali naudotis duomenimis, susijusiais su jų dalyvavimu nuotolinėje mokymosi aplinkoje, ir juos stebėti. Taip pat svarbu juos informuoti, kokie duomenys yra prieinami, analizuojami, kam jie naudojami ir kaip užtikrinama duomenų apsauga.</w:t>
      </w:r>
      <w:r w:rsidDel="00000000" w:rsidR="00000000" w:rsidRPr="00000000">
        <w:rPr>
          <w:rtl w:val="0"/>
        </w:rPr>
      </w:r>
    </w:p>
    <w:p w:rsidR="00000000" w:rsidDel="00000000" w:rsidP="00000000" w:rsidRDefault="00000000" w:rsidRPr="00000000" w14:paraId="0000000A">
      <w:pPr>
        <w:keepNext w:val="1"/>
        <w:keepLines w:val="1"/>
        <w:pBdr>
          <w:top w:space="0" w:sz="0" w:val="nil"/>
          <w:left w:space="0" w:sz="0" w:val="nil"/>
          <w:bottom w:space="0" w:sz="0" w:val="nil"/>
          <w:right w:space="0" w:sz="0" w:val="nil"/>
          <w:between w:space="0" w:sz="0" w:val="nil"/>
        </w:pBdr>
        <w:spacing w:after="240" w:before="240" w:line="360" w:lineRule="auto"/>
        <w:jc w:val="both"/>
        <w:rPr>
          <w:color w:val="000000"/>
          <w:sz w:val="32"/>
          <w:szCs w:val="32"/>
        </w:rPr>
      </w:pPr>
      <w:bookmarkStart w:colFirst="0" w:colLast="0" w:name="_heading=h.nf68u7hxt5ri" w:id="4"/>
      <w:bookmarkEnd w:id="4"/>
      <w:r w:rsidDel="00000000" w:rsidR="00000000" w:rsidRPr="00000000">
        <w:rPr>
          <w:sz w:val="32"/>
          <w:szCs w:val="32"/>
          <w:rtl w:val="0"/>
        </w:rPr>
        <w:t xml:space="preserve">Temos</w:t>
      </w:r>
      <w:r w:rsidDel="00000000" w:rsidR="00000000" w:rsidRPr="00000000">
        <w:rPr>
          <w:rtl w:val="0"/>
        </w:rPr>
      </w:r>
    </w:p>
    <w:p w:rsidR="00000000" w:rsidDel="00000000" w:rsidP="00000000" w:rsidRDefault="00000000" w:rsidRPr="00000000" w14:paraId="0000000B">
      <w:pPr>
        <w:spacing w:line="276" w:lineRule="auto"/>
        <w:ind w:left="708" w:hanging="570"/>
        <w:rPr>
          <w:rFonts w:ascii="Calibri" w:cs="Calibri" w:eastAsia="Calibri" w:hAnsi="Calibri"/>
        </w:rPr>
      </w:pPr>
      <w:r w:rsidDel="00000000" w:rsidR="00000000" w:rsidRPr="00000000">
        <w:rPr>
          <w:rFonts w:ascii="Calibri" w:cs="Calibri" w:eastAsia="Calibri" w:hAnsi="Calibri"/>
          <w:rtl w:val="0"/>
        </w:rPr>
        <w:t xml:space="preserve">2.1. Kaip analizuoti ir interpretuoti turimus įrodymus apie besimokančiųjų veiklą ir pažangą, siekiant skatinti besimokančiųjų įsitraukimą?</w:t>
      </w:r>
    </w:p>
    <w:p w:rsidR="00000000" w:rsidDel="00000000" w:rsidP="00000000" w:rsidRDefault="00000000" w:rsidRPr="00000000" w14:paraId="0000000C">
      <w:pPr>
        <w:spacing w:line="276" w:lineRule="auto"/>
        <w:ind w:left="708" w:hanging="570"/>
        <w:rPr>
          <w:rFonts w:ascii="Calibri" w:cs="Calibri" w:eastAsia="Calibri" w:hAnsi="Calibri"/>
          <w:color w:val="2f5597"/>
        </w:rPr>
      </w:pPr>
      <w:r w:rsidDel="00000000" w:rsidR="00000000" w:rsidRPr="00000000">
        <w:rPr>
          <w:rFonts w:ascii="Calibri" w:cs="Calibri" w:eastAsia="Calibri" w:hAnsi="Calibri"/>
          <w:rtl w:val="0"/>
        </w:rPr>
        <w:t xml:space="preserve">2.2. Kaip, naudojant ataskaitas, atlikti duomenimis pagrįstas mokymo ir mokymosi intervencijas?</w:t>
      </w:r>
      <w:r w:rsidDel="00000000" w:rsidR="00000000" w:rsidRPr="00000000">
        <w:rPr>
          <w:rtl w:val="0"/>
        </w:rPr>
      </w:r>
    </w:p>
    <w:p w:rsidR="00000000" w:rsidDel="00000000" w:rsidP="00000000" w:rsidRDefault="00000000" w:rsidRPr="00000000" w14:paraId="0000000D">
      <w:pPr>
        <w:keepNext w:val="1"/>
        <w:keepLines w:val="1"/>
        <w:pBdr>
          <w:top w:space="0" w:sz="0" w:val="nil"/>
          <w:left w:space="0" w:sz="0" w:val="nil"/>
          <w:bottom w:space="0" w:sz="0" w:val="nil"/>
          <w:right w:space="0" w:sz="0" w:val="nil"/>
          <w:between w:space="0" w:sz="0" w:val="nil"/>
        </w:pBdr>
        <w:spacing w:after="120" w:before="360" w:line="276" w:lineRule="auto"/>
        <w:ind w:left="708" w:hanging="570"/>
        <w:rPr>
          <w:color w:val="000000"/>
          <w:sz w:val="32"/>
          <w:szCs w:val="32"/>
        </w:rPr>
      </w:pPr>
      <w:bookmarkStart w:colFirst="0" w:colLast="0" w:name="_heading=h.3058d2z9cpmb" w:id="5"/>
      <w:bookmarkEnd w:id="5"/>
      <w:r w:rsidDel="00000000" w:rsidR="00000000" w:rsidRPr="00000000">
        <w:rPr>
          <w:sz w:val="32"/>
          <w:szCs w:val="32"/>
          <w:rtl w:val="0"/>
        </w:rPr>
        <w:t xml:space="preserve">Rezultatai</w:t>
      </w:r>
      <w:r w:rsidDel="00000000" w:rsidR="00000000" w:rsidRPr="00000000">
        <w:rPr>
          <w:rtl w:val="0"/>
        </w:rPr>
      </w:r>
    </w:p>
    <w:p w:rsidR="00000000" w:rsidDel="00000000" w:rsidP="00000000" w:rsidRDefault="00000000" w:rsidRPr="00000000" w14:paraId="0000000E">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Naudoti skaitmenines technologijas, kad studentams būtų suteikiamas savalaikis ir tikslingas grįžtamasis ryšys. </w:t>
      </w:r>
    </w:p>
    <w:p w:rsidR="00000000" w:rsidDel="00000000" w:rsidP="00000000" w:rsidRDefault="00000000" w:rsidRPr="00000000" w14:paraId="0000000F">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Pritaikyti mokymo strategijas ir teikti tikslingą paramą, remiantis naudojamų skaitmeninių technologijų įrodymais. </w:t>
      </w:r>
    </w:p>
    <w:p w:rsidR="00000000" w:rsidDel="00000000" w:rsidP="00000000" w:rsidRDefault="00000000" w:rsidRPr="00000000" w14:paraId="00000010">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Kurti, atrinkti, kritiškai analizuoti ir interpretuoti skaitmeninius įrodymus apie besimokančiųjų veiklą, pasiekimus ir pažangą, siekiant suteikti informacijos apie mokymą ir mokymąsi.</w:t>
      </w:r>
    </w:p>
    <w:p w:rsidR="00000000" w:rsidDel="00000000" w:rsidP="00000000" w:rsidRDefault="00000000" w:rsidRPr="00000000" w14:paraId="00000011">
      <w:pPr>
        <w:numPr>
          <w:ilvl w:val="0"/>
          <w:numId w:val="1"/>
        </w:numPr>
        <w:ind w:left="720" w:hanging="360"/>
        <w:jc w:val="both"/>
        <w:rPr>
          <w:rFonts w:ascii="Calibri" w:cs="Calibri" w:eastAsia="Calibri" w:hAnsi="Calibri"/>
        </w:rPr>
      </w:pPr>
      <w:r w:rsidDel="00000000" w:rsidR="00000000" w:rsidRPr="00000000">
        <w:rPr>
          <w:rFonts w:ascii="Calibri" w:cs="Calibri" w:eastAsia="Calibri" w:hAnsi="Calibri"/>
          <w:rtl w:val="0"/>
        </w:rPr>
        <w:t xml:space="preserve">Naudoti skaitmenines technologijas, kad besimokantieji galėtų apmąstyti ir savarankiškai įvertinti savo mokymosi procesą.</w:t>
      </w:r>
    </w:p>
    <w:p w:rsidR="00000000" w:rsidDel="00000000" w:rsidP="00000000" w:rsidRDefault="00000000" w:rsidRPr="00000000" w14:paraId="00000012">
      <w:pPr>
        <w:widowControl w:val="0"/>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keepNext w:val="1"/>
        <w:keepLines w:val="1"/>
        <w:pBdr>
          <w:top w:space="0" w:sz="0" w:val="nil"/>
          <w:left w:space="0" w:sz="0" w:val="nil"/>
          <w:bottom w:space="0" w:sz="0" w:val="nil"/>
          <w:right w:space="0" w:sz="0" w:val="nil"/>
          <w:between w:space="0" w:sz="0" w:val="nil"/>
        </w:pBdr>
        <w:spacing w:after="240" w:before="240" w:line="360" w:lineRule="auto"/>
        <w:jc w:val="both"/>
        <w:rPr>
          <w:color w:val="000000"/>
          <w:sz w:val="32"/>
          <w:szCs w:val="32"/>
        </w:rPr>
      </w:pPr>
      <w:bookmarkStart w:colFirst="0" w:colLast="0" w:name="_heading=h.d04xsutsvln5" w:id="6"/>
      <w:bookmarkEnd w:id="6"/>
      <w:r w:rsidDel="00000000" w:rsidR="00000000" w:rsidRPr="00000000">
        <w:rPr>
          <w:sz w:val="32"/>
          <w:szCs w:val="32"/>
          <w:rtl w:val="0"/>
        </w:rPr>
        <w:t xml:space="preserve">Apibrėžimai (Moodle Žodynas)</w:t>
      </w:r>
      <w:r w:rsidDel="00000000" w:rsidR="00000000" w:rsidRPr="00000000">
        <w:rPr>
          <w:rtl w:val="0"/>
        </w:rPr>
      </w:r>
    </w:p>
    <w:p w:rsidR="00000000" w:rsidDel="00000000" w:rsidP="00000000" w:rsidRDefault="00000000" w:rsidRPr="00000000" w14:paraId="00000014">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Mokymosi pažanga: </w:t>
      </w:r>
      <w:r w:rsidDel="00000000" w:rsidR="00000000" w:rsidRPr="00000000">
        <w:rPr>
          <w:rFonts w:ascii="Calibri" w:cs="Calibri" w:eastAsia="Calibri" w:hAnsi="Calibri"/>
          <w:rtl w:val="0"/>
        </w:rPr>
        <w:t xml:space="preserve">Mokymosi pažanga apibūdina didėjantį tam tikros srities žinių, įgūdžių ir požiūrių įgijimo sunkumą ir sudėtingumą. Dėstytojai turi gebėti nustatyti, kada ir kaip įsiterpti, kad skatintų tolimesnį studentų mokymąsi.       </w:t>
      </w:r>
    </w:p>
    <w:p w:rsidR="00000000" w:rsidDel="00000000" w:rsidP="00000000" w:rsidRDefault="00000000" w:rsidRPr="00000000" w14:paraId="00000015">
      <w:pPr>
        <w:spacing w:after="240" w:before="240" w:lineRule="auto"/>
        <w:jc w:val="both"/>
        <w:rPr>
          <w:rFonts w:ascii="Calibri" w:cs="Calibri" w:eastAsia="Calibri" w:hAnsi="Calibri"/>
        </w:rPr>
      </w:pPr>
      <w:r w:rsidDel="00000000" w:rsidR="00000000" w:rsidRPr="00000000">
        <w:rPr>
          <w:rFonts w:ascii="Calibri" w:cs="Calibri" w:eastAsia="Calibri" w:hAnsi="Calibri"/>
          <w:b w:val="1"/>
          <w:rtl w:val="0"/>
        </w:rPr>
        <w:t xml:space="preserve">Besimokančiojo elgsena: </w:t>
      </w:r>
      <w:r w:rsidDel="00000000" w:rsidR="00000000" w:rsidRPr="00000000">
        <w:rPr>
          <w:rFonts w:ascii="Calibri" w:cs="Calibri" w:eastAsia="Calibri" w:hAnsi="Calibri"/>
          <w:rtl w:val="0"/>
        </w:rPr>
        <w:t xml:space="preserve">tai rodiklis, kuriuo vertinama, kaip studentams sekasi plėtoti ir tobulinti žinias ir įgūdžius. </w:t>
      </w:r>
    </w:p>
    <w:p w:rsidR="00000000" w:rsidDel="00000000" w:rsidP="00000000" w:rsidRDefault="00000000" w:rsidRPr="00000000" w14:paraId="00000016">
      <w:pPr>
        <w:keepNext w:val="1"/>
        <w:keepLines w:val="1"/>
        <w:pBdr>
          <w:top w:space="0" w:sz="0" w:val="nil"/>
          <w:left w:space="0" w:sz="0" w:val="nil"/>
          <w:bottom w:space="0" w:sz="0" w:val="nil"/>
          <w:right w:space="0" w:sz="0" w:val="nil"/>
          <w:between w:space="0" w:sz="0" w:val="nil"/>
        </w:pBdr>
        <w:spacing w:after="120" w:before="360" w:lineRule="auto"/>
        <w:ind w:firstLine="720"/>
        <w:rPr>
          <w:color w:val="000000"/>
          <w:sz w:val="32"/>
          <w:szCs w:val="32"/>
        </w:rPr>
      </w:pPr>
      <w:bookmarkStart w:colFirst="0" w:colLast="0" w:name="_heading=h.2jfu1q11k3c5" w:id="7"/>
      <w:bookmarkEnd w:id="7"/>
      <w:r w:rsidDel="00000000" w:rsidR="00000000" w:rsidRPr="00000000">
        <w:rPr>
          <w:color w:val="000000"/>
          <w:sz w:val="32"/>
          <w:szCs w:val="32"/>
          <w:rtl w:val="0"/>
        </w:rPr>
        <w:t xml:space="preserve">STRATEGIJOS IR REKOMENDACIJOS ĮRODYMŲ ANALIZEI IR INTERPRETACIJAI</w:t>
      </w:r>
    </w:p>
    <w:p w:rsidR="00000000" w:rsidDel="00000000" w:rsidP="00000000" w:rsidRDefault="00000000" w:rsidRPr="00000000" w14:paraId="00000017">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Pedagoginiu požiūriu:</w:t>
      </w:r>
    </w:p>
    <w:p w:rsidR="00000000" w:rsidDel="00000000" w:rsidP="00000000" w:rsidRDefault="00000000" w:rsidRPr="00000000" w14:paraId="00000018">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Apsvarstykite ir nuspręskite, kokius duomenis apie besimokančiųjų elgesį, mokymosi procesą ir pažangą jums svarbu analizuoti;</w:t>
      </w:r>
    </w:p>
    <w:p w:rsidR="00000000" w:rsidDel="00000000" w:rsidP="00000000" w:rsidRDefault="00000000" w:rsidRPr="00000000" w14:paraId="00000019">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Nuspręskite, kuriuos duomenis svarbu analizuoti semestro metu, o kuriuos - semestro / mokymosi laikotarpio pabaigoje;</w:t>
      </w:r>
    </w:p>
    <w:p w:rsidR="00000000" w:rsidDel="00000000" w:rsidP="00000000" w:rsidRDefault="00000000" w:rsidRPr="00000000" w14:paraId="0000001A">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Informuokite studentus apie tai, kokius duomenis generuojate, stebite ir analizuojate jūs, o kokius duomenis jie gali analizuoti patys;</w:t>
      </w:r>
    </w:p>
    <w:p w:rsidR="00000000" w:rsidDel="00000000" w:rsidP="00000000" w:rsidRDefault="00000000" w:rsidRPr="00000000" w14:paraId="0000001B">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Analizuokite besimokančiųjų veiklos ataskaitas, kurios parodo, kiek kartų besimokantieji naudojosi kiekvienu mokymosi ištekliu ar veikla.  Tai gali padėti suprasti ir sužinoti apie besimokančiųjų mokymosi stilius ir pageidaujamus mokymosi išteklių formatus;</w:t>
      </w:r>
    </w:p>
    <w:p w:rsidR="00000000" w:rsidDel="00000000" w:rsidP="00000000" w:rsidRDefault="00000000" w:rsidRPr="00000000" w14:paraId="0000001C">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Apmąstykite, kokius mokymosi turinio pakeitimus reikėtų atlikti,  apsvarstant mokymosi medžiagos, veiklos, užduočių ar vertinimo strategijas, remiantis skaitmeniniais įrodymais </w:t>
      </w:r>
    </w:p>
    <w:p w:rsidR="00000000" w:rsidDel="00000000" w:rsidP="00000000" w:rsidRDefault="00000000" w:rsidRPr="00000000" w14:paraId="0000001D">
      <w:pPr>
        <w:numPr>
          <w:ilvl w:val="1"/>
          <w:numId w:val="2"/>
        </w:numPr>
        <w:pBdr>
          <w:top w:space="0" w:sz="0" w:val="nil"/>
          <w:left w:space="0" w:sz="0" w:val="nil"/>
          <w:bottom w:space="0" w:sz="0" w:val="nil"/>
          <w:right w:space="0" w:sz="0" w:val="nil"/>
          <w:between w:space="0" w:sz="0" w:val="nil"/>
        </w:pBdr>
        <w:ind w:left="1440" w:hanging="360"/>
        <w:rPr>
          <w:rFonts w:ascii="Calibri" w:cs="Calibri" w:eastAsia="Calibri" w:hAnsi="Calibri"/>
        </w:rPr>
      </w:pPr>
      <w:r w:rsidDel="00000000" w:rsidR="00000000" w:rsidRPr="00000000">
        <w:rPr>
          <w:rFonts w:ascii="Calibri" w:cs="Calibri" w:eastAsia="Calibri" w:hAnsi="Calibri"/>
          <w:rtl w:val="0"/>
        </w:rPr>
        <w:t xml:space="preserve">Teikite studentams grįžtamąjį ryšį apie jų mokymosi pažangą.</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numPr>
          <w:ilvl w:val="0"/>
          <w:numId w:val="2"/>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Techniniu požiūriu:</w:t>
      </w:r>
    </w:p>
    <w:p w:rsidR="00000000" w:rsidDel="00000000" w:rsidP="00000000" w:rsidRDefault="00000000" w:rsidRPr="00000000" w14:paraId="00000020">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Nustatykite ir suplanuokite veiklą ir užduotis, kurios padėtų kaupti reikiamus duomenis;</w:t>
      </w:r>
    </w:p>
    <w:p w:rsidR="00000000" w:rsidDel="00000000" w:rsidP="00000000" w:rsidRDefault="00000000" w:rsidRPr="00000000" w14:paraId="00000021">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integruokite nuotolinės mokymosi aplinkos (Moodle) palaikomus arba išorinius skaitmeninius įrankius, kurie skatina aktyvų besimokančiųjų dalyvavimą (pvz., "Moodle minčių žemėlapis", "Mentimeter", "Padlet", "Jamboard", "Google Docs");</w:t>
      </w:r>
    </w:p>
    <w:p w:rsidR="00000000" w:rsidDel="00000000" w:rsidP="00000000" w:rsidRDefault="00000000" w:rsidRPr="00000000" w14:paraId="00000022">
      <w:pPr>
        <w:numPr>
          <w:ilvl w:val="1"/>
          <w:numId w:val="2"/>
        </w:numPr>
        <w:ind w:left="1440" w:hanging="360"/>
        <w:rPr>
          <w:rFonts w:ascii="Calibri" w:cs="Calibri" w:eastAsia="Calibri" w:hAnsi="Calibri"/>
        </w:rPr>
      </w:pPr>
      <w:r w:rsidDel="00000000" w:rsidR="00000000" w:rsidRPr="00000000">
        <w:rPr>
          <w:rFonts w:ascii="Calibri" w:cs="Calibri" w:eastAsia="Calibri" w:hAnsi="Calibri"/>
          <w:rtl w:val="0"/>
        </w:rPr>
        <w:t xml:space="preserve">Naudokite skaitmenines priemones, kad suteiktumėte studentams grįžtamąjį ryšį žodžiu ar raštu.</w:t>
      </w:r>
    </w:p>
    <w:p w:rsidR="00000000" w:rsidDel="00000000" w:rsidP="00000000" w:rsidRDefault="00000000" w:rsidRPr="00000000" w14:paraId="00000023">
      <w:pPr>
        <w:keepNext w:val="1"/>
        <w:keepLines w:val="1"/>
        <w:spacing w:after="240" w:before="240" w:line="360" w:lineRule="auto"/>
        <w:jc w:val="both"/>
        <w:rPr>
          <w:rFonts w:ascii="Calibri" w:cs="Calibri" w:eastAsia="Calibri" w:hAnsi="Calibri"/>
        </w:rPr>
      </w:pPr>
      <w:bookmarkStart w:colFirst="0" w:colLast="0" w:name="_heading=h.pfaxb0yeocw0" w:id="8"/>
      <w:bookmarkEnd w:id="8"/>
      <w:r w:rsidDel="00000000" w:rsidR="00000000" w:rsidRPr="00000000">
        <w:rPr>
          <w:sz w:val="28"/>
          <w:szCs w:val="28"/>
          <w:rtl w:val="0"/>
        </w:rPr>
        <w:t xml:space="preserve">LITERATŪRA PAPILDOMAM SKAITYMUI (NEPRIVALOMA)</w:t>
      </w:r>
      <w:r w:rsidDel="00000000" w:rsidR="00000000" w:rsidRPr="00000000">
        <w:rPr>
          <w:rtl w:val="0"/>
        </w:rPr>
      </w:r>
    </w:p>
    <w:p w:rsidR="00000000" w:rsidDel="00000000" w:rsidP="00000000" w:rsidRDefault="00000000" w:rsidRPr="00000000" w14:paraId="00000024">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Bodily, R., &amp; Verbert, K. (2017). Review of research on student-facing learning analytics dashboards and educational recommender systems. I</w:t>
      </w:r>
      <w:r w:rsidDel="00000000" w:rsidR="00000000" w:rsidRPr="00000000">
        <w:rPr>
          <w:rFonts w:ascii="Calibri" w:cs="Calibri" w:eastAsia="Calibri" w:hAnsi="Calibri"/>
          <w:i w:val="1"/>
          <w:rtl w:val="0"/>
        </w:rPr>
        <w:t xml:space="preserve">EEE Transactions on Learning Technologies</w:t>
      </w:r>
      <w:r w:rsidDel="00000000" w:rsidR="00000000" w:rsidRPr="00000000">
        <w:rPr>
          <w:rFonts w:ascii="Calibri" w:cs="Calibri" w:eastAsia="Calibri" w:hAnsi="Calibri"/>
          <w:rtl w:val="0"/>
        </w:rPr>
        <w:t xml:space="preserve">, 10(4), 405-418. DOI: </w:t>
      </w:r>
      <w:hyperlink r:id="rId8">
        <w:r w:rsidDel="00000000" w:rsidR="00000000" w:rsidRPr="00000000">
          <w:rPr>
            <w:rFonts w:ascii="Calibri" w:cs="Calibri" w:eastAsia="Calibri" w:hAnsi="Calibri"/>
            <w:rtl w:val="0"/>
          </w:rPr>
          <w:t xml:space="preserve">10.1109/TLT.2017.2740172</w:t>
        </w:r>
      </w:hyperlink>
      <w:r w:rsidDel="00000000" w:rsidR="00000000" w:rsidRPr="00000000">
        <w:rPr>
          <w:rFonts w:ascii="Calibri" w:cs="Calibri" w:eastAsia="Calibri" w:hAnsi="Calibri"/>
          <w:rtl w:val="0"/>
        </w:rPr>
        <w:br w:type="textWrapping"/>
        <w:br w:type="textWrapping"/>
        <w:t xml:space="preserve">Charleer, S., Moere, A. V., Klerkx, J., Verbert, K., &amp; De Laet, T. (2017). Learning analytics dashboards to support adviser-student dialogue. </w:t>
      </w:r>
      <w:r w:rsidDel="00000000" w:rsidR="00000000" w:rsidRPr="00000000">
        <w:rPr>
          <w:rFonts w:ascii="Calibri" w:cs="Calibri" w:eastAsia="Calibri" w:hAnsi="Calibri"/>
          <w:i w:val="1"/>
          <w:rtl w:val="0"/>
        </w:rPr>
        <w:t xml:space="preserve">IEEE Transactions on Learning Technologies</w:t>
      </w:r>
      <w:r w:rsidDel="00000000" w:rsidR="00000000" w:rsidRPr="00000000">
        <w:rPr>
          <w:rFonts w:ascii="Calibri" w:cs="Calibri" w:eastAsia="Calibri" w:hAnsi="Calibri"/>
          <w:rtl w:val="0"/>
        </w:rPr>
        <w:t xml:space="preserve">, 11(3), 389-399. DOI: </w:t>
      </w:r>
      <w:hyperlink r:id="rId9">
        <w:r w:rsidDel="00000000" w:rsidR="00000000" w:rsidRPr="00000000">
          <w:rPr>
            <w:rFonts w:ascii="Calibri" w:cs="Calibri" w:eastAsia="Calibri" w:hAnsi="Calibri"/>
            <w:rtl w:val="0"/>
          </w:rPr>
          <w:t xml:space="preserve">10.1109/TLT.2017.2720670</w:t>
        </w:r>
      </w:hyperlink>
      <w:r w:rsidDel="00000000" w:rsidR="00000000" w:rsidRPr="00000000">
        <w:rPr>
          <w:rtl w:val="0"/>
        </w:rPr>
      </w:r>
    </w:p>
    <w:p w:rsidR="00000000" w:rsidDel="00000000" w:rsidP="00000000" w:rsidRDefault="00000000" w:rsidRPr="00000000" w14:paraId="00000025">
      <w:pPr>
        <w:spacing w:before="240" w:lineRule="auto"/>
        <w:rPr>
          <w:rFonts w:ascii="Calibri" w:cs="Calibri" w:eastAsia="Calibri" w:hAnsi="Calibri"/>
        </w:rPr>
      </w:pPr>
      <w:r w:rsidDel="00000000" w:rsidR="00000000" w:rsidRPr="00000000">
        <w:rPr>
          <w:rFonts w:ascii="Calibri" w:cs="Calibri" w:eastAsia="Calibri" w:hAnsi="Calibri"/>
          <w:rtl w:val="0"/>
        </w:rPr>
        <w:t xml:space="preserve">Emplit, P. and Zhang, T. (2020). Evidence-based approaches to learning and teaching, </w:t>
      </w:r>
      <w:r w:rsidDel="00000000" w:rsidR="00000000" w:rsidRPr="00000000">
        <w:rPr>
          <w:rFonts w:ascii="Calibri" w:cs="Calibri" w:eastAsia="Calibri" w:hAnsi="Calibri"/>
          <w:i w:val="1"/>
          <w:rtl w:val="0"/>
        </w:rPr>
        <w:t xml:space="preserve">Learning and Teaching Paper #11</w:t>
      </w:r>
      <w:r w:rsidDel="00000000" w:rsidR="00000000" w:rsidRPr="00000000">
        <w:rPr>
          <w:rFonts w:ascii="Calibri" w:cs="Calibri" w:eastAsia="Calibri" w:hAnsi="Calibri"/>
          <w:rtl w:val="0"/>
        </w:rPr>
        <w:t xml:space="preserve">, Thematic peer group report, EUA. https://eua.eu/downloads/publications/eua%20report%20evidence-based%20approaches_web.pdf</w:t>
      </w:r>
      <w:r w:rsidDel="00000000" w:rsidR="00000000" w:rsidRPr="00000000">
        <w:rPr>
          <w:rtl w:val="0"/>
        </w:rPr>
        <w:t xml:space="preserve">     </w:t>
      </w:r>
      <w:r w:rsidDel="00000000" w:rsidR="00000000" w:rsidRPr="00000000">
        <w:rPr>
          <w:rFonts w:ascii="Calibri" w:cs="Calibri" w:eastAsia="Calibri" w:hAnsi="Calibri"/>
          <w:rtl w:val="0"/>
        </w:rPr>
        <w:t xml:space="preserve">f</w:t>
      </w:r>
    </w:p>
    <w:p w:rsidR="00000000" w:rsidDel="00000000" w:rsidP="00000000" w:rsidRDefault="00000000" w:rsidRPr="00000000" w14:paraId="00000026">
      <w:pPr>
        <w:spacing w:before="240" w:lineRule="auto"/>
        <w:rPr>
          <w:rFonts w:ascii="Calibri" w:cs="Calibri" w:eastAsia="Calibri" w:hAnsi="Calibri"/>
        </w:rPr>
      </w:pPr>
      <w:r w:rsidDel="00000000" w:rsidR="00000000" w:rsidRPr="00000000">
        <w:rPr>
          <w:rFonts w:ascii="Calibri" w:cs="Calibri" w:eastAsia="Calibri" w:hAnsi="Calibri"/>
          <w:rtl w:val="0"/>
        </w:rPr>
        <w:t xml:space="preserve">Er, E., Dimitriadis, Y. &amp; Gasevic, D. (2021). Collaborative peer feedback and learning analytics: theory oriented design for supporting class-wide interventions, ASSESSMENT &amp; EVALUATION IN HIGHER EDUCATION, VOL. 46, NO. 2, 169–190 </w:t>
      </w:r>
      <w:hyperlink r:id="rId10">
        <w:r w:rsidDel="00000000" w:rsidR="00000000" w:rsidRPr="00000000">
          <w:rPr>
            <w:rFonts w:ascii="Calibri" w:cs="Calibri" w:eastAsia="Calibri" w:hAnsi="Calibri"/>
            <w:color w:val="1155cc"/>
            <w:u w:val="single"/>
            <w:rtl w:val="0"/>
          </w:rPr>
          <w:t xml:space="preserve">https://doi.org/10.1080/02602938.2020.1764490</w:t>
        </w:r>
      </w:hyperlink>
      <w:r w:rsidDel="00000000" w:rsidR="00000000" w:rsidRPr="00000000">
        <w:rPr>
          <w:rtl w:val="0"/>
        </w:rPr>
      </w:r>
    </w:p>
    <w:p w:rsidR="00000000" w:rsidDel="00000000" w:rsidP="00000000" w:rsidRDefault="00000000" w:rsidRPr="00000000" w14:paraId="00000027">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Holmes, W., Nguyen, Q., Zhang, J., Mavrikis, M., &amp; Rienties, B. (2019). Learning analytics for learning design in online distance learning, </w:t>
      </w:r>
      <w:r w:rsidDel="00000000" w:rsidR="00000000" w:rsidRPr="00000000">
        <w:rPr>
          <w:rFonts w:ascii="Calibri" w:cs="Calibri" w:eastAsia="Calibri" w:hAnsi="Calibri"/>
          <w:i w:val="1"/>
          <w:rtl w:val="0"/>
        </w:rPr>
        <w:t xml:space="preserve">Distance Education</w:t>
      </w:r>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rtl w:val="0"/>
          </w:rPr>
          <w:t xml:space="preserve">https://doi.org/10.1080/01587919.2019.1637716</w:t>
        </w:r>
      </w:hyperlink>
      <w:r w:rsidDel="00000000" w:rsidR="00000000" w:rsidRPr="00000000">
        <w:rPr>
          <w:rtl w:val="0"/>
        </w:rPr>
      </w:r>
    </w:p>
    <w:p w:rsidR="00000000" w:rsidDel="00000000" w:rsidP="00000000" w:rsidRDefault="00000000" w:rsidRPr="00000000" w14:paraId="00000028">
      <w:pPr>
        <w:spacing w:before="200" w:lineRule="auto"/>
        <w:jc w:val="both"/>
        <w:rPr>
          <w:rFonts w:ascii="Calibri" w:cs="Calibri" w:eastAsia="Calibri" w:hAnsi="Calibri"/>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9">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Kitto, K., &amp; Knight, S. (2019). Practical ethics for building learning analytics. </w:t>
      </w:r>
      <w:r w:rsidDel="00000000" w:rsidR="00000000" w:rsidRPr="00000000">
        <w:rPr>
          <w:rFonts w:ascii="Calibri" w:cs="Calibri" w:eastAsia="Calibri" w:hAnsi="Calibri"/>
          <w:i w:val="1"/>
          <w:rtl w:val="0"/>
        </w:rPr>
        <w:t xml:space="preserve">British Journal of Educational Technology</w:t>
      </w:r>
      <w:r w:rsidDel="00000000" w:rsidR="00000000" w:rsidRPr="00000000">
        <w:rPr>
          <w:rFonts w:ascii="Calibri" w:cs="Calibri" w:eastAsia="Calibri" w:hAnsi="Calibri"/>
          <w:rtl w:val="0"/>
        </w:rPr>
        <w:t xml:space="preserve">, 50(6), 2855-2870. </w:t>
      </w:r>
      <w:hyperlink r:id="rId12">
        <w:r w:rsidDel="00000000" w:rsidR="00000000" w:rsidRPr="00000000">
          <w:rPr>
            <w:rFonts w:ascii="Calibri" w:cs="Calibri" w:eastAsia="Calibri" w:hAnsi="Calibri"/>
            <w:rtl w:val="0"/>
          </w:rPr>
          <w:t xml:space="preserve">https://doi.org/10.1111/bjet.12868</w:t>
        </w:r>
      </w:hyperlink>
      <w:r w:rsidDel="00000000" w:rsidR="00000000" w:rsidRPr="00000000">
        <w:rPr>
          <w:rFonts w:ascii="Calibri" w:cs="Calibri" w:eastAsia="Calibri" w:hAnsi="Calibri"/>
          <w:rtl w:val="0"/>
        </w:rPr>
        <w:br w:type="textWrapping"/>
        <w:t xml:space="preserve">Matcha, W., Gašević, D., &amp; Pardo, A. (2019). A systematic review of empirical studies on learning analytics dashboards: A self-regulated learning perspective. </w:t>
      </w:r>
      <w:r w:rsidDel="00000000" w:rsidR="00000000" w:rsidRPr="00000000">
        <w:rPr>
          <w:rFonts w:ascii="Calibri" w:cs="Calibri" w:eastAsia="Calibri" w:hAnsi="Calibri"/>
          <w:i w:val="1"/>
          <w:rtl w:val="0"/>
        </w:rPr>
        <w:t xml:space="preserve">IEEE Transactions on Learning Technologies</w:t>
      </w:r>
      <w:r w:rsidDel="00000000" w:rsidR="00000000" w:rsidRPr="00000000">
        <w:rPr>
          <w:rFonts w:ascii="Calibri" w:cs="Calibri" w:eastAsia="Calibri" w:hAnsi="Calibri"/>
          <w:rtl w:val="0"/>
        </w:rPr>
        <w:t xml:space="preserve">, 13(2), 226-245. DOI: </w:t>
      </w:r>
      <w:hyperlink r:id="rId13">
        <w:r w:rsidDel="00000000" w:rsidR="00000000" w:rsidRPr="00000000">
          <w:rPr>
            <w:rFonts w:ascii="Calibri" w:cs="Calibri" w:eastAsia="Calibri" w:hAnsi="Calibri"/>
            <w:rtl w:val="0"/>
          </w:rPr>
          <w:t xml:space="preserve">10.1109/TLT.2019.2916802</w:t>
        </w:r>
      </w:hyperlink>
      <w:r w:rsidDel="00000000" w:rsidR="00000000" w:rsidRPr="00000000">
        <w:rPr>
          <w:rtl w:val="0"/>
        </w:rPr>
      </w:r>
    </w:p>
    <w:p w:rsidR="00000000" w:rsidDel="00000000" w:rsidP="00000000" w:rsidRDefault="00000000" w:rsidRPr="00000000" w14:paraId="0000002A">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Punie, Y., editor(s), Redecker, C., </w:t>
      </w:r>
      <w:r w:rsidDel="00000000" w:rsidR="00000000" w:rsidRPr="00000000">
        <w:rPr>
          <w:rFonts w:ascii="Calibri" w:cs="Calibri" w:eastAsia="Calibri" w:hAnsi="Calibri"/>
          <w:i w:val="1"/>
          <w:rtl w:val="0"/>
        </w:rPr>
        <w:t xml:space="preserve">European Framework for the Digital Competence of Educators: DigCompEdu</w:t>
      </w:r>
      <w:r w:rsidDel="00000000" w:rsidR="00000000" w:rsidRPr="00000000">
        <w:rPr>
          <w:rtl w:val="0"/>
        </w:rPr>
        <w:t xml:space="preserve">     </w:t>
      </w:r>
      <w:r w:rsidDel="00000000" w:rsidR="00000000" w:rsidRPr="00000000">
        <w:rPr>
          <w:rFonts w:ascii="Calibri" w:cs="Calibri" w:eastAsia="Calibri" w:hAnsi="Calibri"/>
          <w:rtl w:val="0"/>
        </w:rPr>
        <w:t xml:space="preserve">, EUR 28775 EN, Publications Office of the European Union, Luxembourg, 2017. Retrieved from: https://op.europa.eu/en/publication-detail/-/publication/fcc33b68-d581-11e7-a5b9-01aa75ed71a1/language-en</w:t>
      </w:r>
      <w:r w:rsidDel="00000000" w:rsidR="00000000" w:rsidRPr="00000000">
        <w:rPr>
          <w:rtl w:val="0"/>
        </w:rPr>
        <w:t xml:space="preserve">     </w:t>
      </w:r>
      <w:r w:rsidDel="00000000" w:rsidR="00000000" w:rsidRPr="00000000">
        <w:rPr>
          <w:rFonts w:ascii="Calibri" w:cs="Calibri" w:eastAsia="Calibri" w:hAnsi="Calibri"/>
          <w:rtl w:val="0"/>
        </w:rPr>
        <w:t xml:space="preserve"> </w:t>
      </w:r>
      <w:r w:rsidDel="00000000" w:rsidR="00000000" w:rsidRPr="00000000">
        <w:rPr>
          <w:rtl w:val="0"/>
        </w:rPr>
        <w:t xml:space="preserve">     </w:t>
      </w:r>
      <w:r w:rsidDel="00000000" w:rsidR="00000000" w:rsidRPr="00000000">
        <w:rPr>
          <w:rFonts w:ascii="Calibri" w:cs="Calibri" w:eastAsia="Calibri" w:hAnsi="Calibri"/>
          <w:rtl w:val="0"/>
        </w:rPr>
        <w:t xml:space="preserve">Schumacher, C., &amp; Ifenthaler, D. (2018). Features students really expect from learning analytics.</w:t>
      </w:r>
      <w:r w:rsidDel="00000000" w:rsidR="00000000" w:rsidRPr="00000000">
        <w:rPr>
          <w:rFonts w:ascii="Calibri" w:cs="Calibri" w:eastAsia="Calibri" w:hAnsi="Calibri"/>
          <w:i w:val="1"/>
          <w:rtl w:val="0"/>
        </w:rPr>
        <w:t xml:space="preserve"> Computers in human behavior</w:t>
      </w:r>
      <w:r w:rsidDel="00000000" w:rsidR="00000000" w:rsidRPr="00000000">
        <w:rPr>
          <w:rFonts w:ascii="Calibri" w:cs="Calibri" w:eastAsia="Calibri" w:hAnsi="Calibri"/>
          <w:rtl w:val="0"/>
        </w:rPr>
        <w:t xml:space="preserve">, 78, 397-407.</w:t>
      </w:r>
    </w:p>
    <w:p w:rsidR="00000000" w:rsidDel="00000000" w:rsidP="00000000" w:rsidRDefault="00000000" w:rsidRPr="00000000" w14:paraId="0000002B">
      <w:pPr>
        <w:spacing w:before="200" w:lineRule="auto"/>
        <w:jc w:val="both"/>
        <w:rPr>
          <w:rFonts w:ascii="Calibri" w:cs="Calibri" w:eastAsia="Calibri" w:hAnsi="Calibri"/>
        </w:rPr>
      </w:pPr>
      <w:r w:rsidDel="00000000" w:rsidR="00000000" w:rsidRPr="00000000">
        <w:rPr>
          <w:rFonts w:ascii="Calibri" w:cs="Calibri" w:eastAsia="Calibri" w:hAnsi="Calibri"/>
          <w:rtl w:val="0"/>
        </w:rPr>
        <w:t xml:space="preserve">Sclater, N., Peasgood, A., and Mullan, J. (2016). </w:t>
      </w:r>
      <w:r w:rsidDel="00000000" w:rsidR="00000000" w:rsidRPr="00000000">
        <w:rPr>
          <w:rFonts w:ascii="Calibri" w:cs="Calibri" w:eastAsia="Calibri" w:hAnsi="Calibri"/>
          <w:i w:val="1"/>
          <w:rtl w:val="0"/>
        </w:rPr>
        <w:t xml:space="preserve">Learning Analytics in Higher Education</w:t>
      </w:r>
      <w:r w:rsidDel="00000000" w:rsidR="00000000" w:rsidRPr="00000000">
        <w:rPr>
          <w:rFonts w:ascii="Calibri" w:cs="Calibri" w:eastAsia="Calibri" w:hAnsi="Calibri"/>
          <w:rtl w:val="0"/>
        </w:rPr>
        <w:t xml:space="preserve">. Bristol: JISC.</w:t>
      </w:r>
    </w:p>
    <w:p w:rsidR="00000000" w:rsidDel="00000000" w:rsidP="00000000" w:rsidRDefault="00000000" w:rsidRPr="00000000" w14:paraId="0000002C">
      <w:pPr>
        <w:spacing w:before="240" w:lineRule="auto"/>
        <w:rPr>
          <w:rFonts w:ascii="Calibri" w:cs="Calibri" w:eastAsia="Calibri" w:hAnsi="Calibri"/>
        </w:rPr>
      </w:pPr>
      <w:r w:rsidDel="00000000" w:rsidR="00000000" w:rsidRPr="00000000">
        <w:rPr>
          <w:rFonts w:ascii="Calibri" w:cs="Calibri" w:eastAsia="Calibri" w:hAnsi="Calibri"/>
          <w:rtl w:val="0"/>
        </w:rPr>
        <w:t xml:space="preserve">Sedrakyan, G., Malmberg, J., Verbert, K., Järvelä, S., &amp; Kirschner, P. A. (2020). Linking learning behavior analytics and learning science concepts: Designing a learning analytics dashboard for feedback to support learning regulation. </w:t>
      </w:r>
      <w:r w:rsidDel="00000000" w:rsidR="00000000" w:rsidRPr="00000000">
        <w:rPr>
          <w:rFonts w:ascii="Calibri" w:cs="Calibri" w:eastAsia="Calibri" w:hAnsi="Calibri"/>
          <w:i w:val="1"/>
          <w:rtl w:val="0"/>
        </w:rPr>
        <w:t xml:space="preserve">Computers in Human Behavior</w:t>
      </w:r>
      <w:r w:rsidDel="00000000" w:rsidR="00000000" w:rsidRPr="00000000">
        <w:rPr>
          <w:rFonts w:ascii="Calibri" w:cs="Calibri" w:eastAsia="Calibri" w:hAnsi="Calibri"/>
          <w:rtl w:val="0"/>
        </w:rPr>
        <w:t xml:space="preserve">, 107, 105512. </w:t>
      </w:r>
      <w:hyperlink r:id="rId14">
        <w:r w:rsidDel="00000000" w:rsidR="00000000" w:rsidRPr="00000000">
          <w:rPr>
            <w:rFonts w:ascii="Calibri" w:cs="Calibri" w:eastAsia="Calibri" w:hAnsi="Calibri"/>
            <w:color w:val="1155cc"/>
            <w:u w:val="single"/>
            <w:rtl w:val="0"/>
          </w:rPr>
          <w:t xml:space="preserve">https://doi.org/10.1016/j.chb.2018.05.004</w:t>
        </w:r>
      </w:hyperlink>
      <w:r w:rsidDel="00000000" w:rsidR="00000000" w:rsidRPr="00000000">
        <w:rPr>
          <w:rtl w:val="0"/>
        </w:rPr>
      </w:r>
    </w:p>
    <w:p w:rsidR="00000000" w:rsidDel="00000000" w:rsidP="00000000" w:rsidRDefault="00000000" w:rsidRPr="00000000" w14:paraId="0000002D">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Silvola, A., Näykki, P., Kaveri, A., &amp; Muukkonen, H. (2021). Expectations for supporting student engagement with learning analytics: An academic path perspective. </w:t>
      </w:r>
      <w:r w:rsidDel="00000000" w:rsidR="00000000" w:rsidRPr="00000000">
        <w:rPr>
          <w:rFonts w:ascii="Calibri" w:cs="Calibri" w:eastAsia="Calibri" w:hAnsi="Calibri"/>
          <w:i w:val="1"/>
          <w:rtl w:val="0"/>
        </w:rPr>
        <w:t xml:space="preserve">Computers &amp; Education</w:t>
      </w:r>
      <w:r w:rsidDel="00000000" w:rsidR="00000000" w:rsidRPr="00000000">
        <w:rPr>
          <w:rFonts w:ascii="Calibri" w:cs="Calibri" w:eastAsia="Calibri" w:hAnsi="Calibri"/>
          <w:rtl w:val="0"/>
        </w:rPr>
        <w:t xml:space="preserve">, 168, 104192.   </w:t>
      </w:r>
      <w:hyperlink r:id="rId15">
        <w:r w:rsidDel="00000000" w:rsidR="00000000" w:rsidRPr="00000000">
          <w:rPr>
            <w:rFonts w:ascii="Calibri" w:cs="Calibri" w:eastAsia="Calibri" w:hAnsi="Calibri"/>
            <w:rtl w:val="0"/>
          </w:rPr>
          <w:t xml:space="preserve">https://doi.org/10.1016/j.compedu.2021.104192</w:t>
        </w:r>
      </w:hyperlink>
      <w:r w:rsidDel="00000000" w:rsidR="00000000" w:rsidRPr="00000000">
        <w:rPr>
          <w:rtl w:val="0"/>
        </w:rPr>
      </w:r>
    </w:p>
    <w:p w:rsidR="00000000" w:rsidDel="00000000" w:rsidP="00000000" w:rsidRDefault="00000000" w:rsidRPr="00000000" w14:paraId="0000002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Trespalacios, J., &amp; Perkins, R. (2016). Sense of community, perceived learning, and achievement relationships in an online graduate course. </w:t>
      </w:r>
      <w:r w:rsidDel="00000000" w:rsidR="00000000" w:rsidRPr="00000000">
        <w:rPr>
          <w:rFonts w:ascii="Calibri" w:cs="Calibri" w:eastAsia="Calibri" w:hAnsi="Calibri"/>
          <w:i w:val="1"/>
          <w:rtl w:val="0"/>
        </w:rPr>
        <w:t xml:space="preserve">Turkish Online Journal of Distance Education</w:t>
      </w:r>
      <w:r w:rsidDel="00000000" w:rsidR="00000000" w:rsidRPr="00000000">
        <w:rPr>
          <w:rFonts w:ascii="Calibri" w:cs="Calibri" w:eastAsia="Calibri" w:hAnsi="Calibri"/>
          <w:rtl w:val="0"/>
        </w:rPr>
        <w:t xml:space="preserve">, 17(3), 31–49. DOI:</w:t>
      </w:r>
      <w:hyperlink r:id="rId16">
        <w:r w:rsidDel="00000000" w:rsidR="00000000" w:rsidRPr="00000000">
          <w:rPr>
            <w:rFonts w:ascii="Calibri" w:cs="Calibri" w:eastAsia="Calibri" w:hAnsi="Calibri"/>
            <w:rtl w:val="0"/>
          </w:rPr>
          <w:t xml:space="preserve">10.17718/tojde.12984</w:t>
        </w:r>
      </w:hyperlink>
      <w:r w:rsidDel="00000000" w:rsidR="00000000" w:rsidRPr="00000000">
        <w:rPr>
          <w:rtl w:val="0"/>
        </w:rPr>
        <w:t xml:space="preserve">     </w:t>
      </w:r>
      <w:hyperlink r:id="rId17">
        <w:r w:rsidDel="00000000" w:rsidR="00000000" w:rsidRPr="00000000">
          <w:rPr>
            <w:rFonts w:ascii="Calibri" w:cs="Calibri" w:eastAsia="Calibri" w:hAnsi="Calibri"/>
            <w:rtl w:val="0"/>
          </w:rPr>
          <w:t xml:space="preserve">Volungevičienė, A. (2021). </w:t>
        </w:r>
      </w:hyperlink>
      <w:hyperlink r:id="rId18">
        <w:r w:rsidDel="00000000" w:rsidR="00000000" w:rsidRPr="00000000">
          <w:rPr>
            <w:rFonts w:ascii="Calibri" w:cs="Calibri" w:eastAsia="Calibri" w:hAnsi="Calibri"/>
            <w:i w:val="1"/>
            <w:rtl w:val="0"/>
          </w:rPr>
          <w:t xml:space="preserve">Data Analysis of Case Study Examples. In Learning Analytics: a Metacognitive Tool to Engage Students</w:t>
        </w:r>
      </w:hyperlink>
      <w:hyperlink r:id="rId19">
        <w:r w:rsidDel="00000000" w:rsidR="00000000" w:rsidRPr="00000000">
          <w:rPr>
            <w:rFonts w:ascii="Calibri" w:cs="Calibri" w:eastAsia="Calibri" w:hAnsi="Calibri"/>
            <w:rtl w:val="0"/>
          </w:rPr>
          <w:t xml:space="preserve"> (pp. 73-170). Sciendo.</w:t>
        </w:r>
      </w:hyperlink>
      <w:hyperlink r:id="rId20">
        <w:r w:rsidDel="00000000" w:rsidR="00000000" w:rsidRPr="00000000">
          <w:rPr>
            <w:rFonts w:ascii="Calibri" w:cs="Calibri" w:eastAsia="Calibri" w:hAnsi="Calibri"/>
            <w:rtl w:val="0"/>
          </w:rPr>
          <w:t xml:space="preserve"> https://doi.org/10.2478/9788366675643-005</w:t>
        </w:r>
      </w:hyperlink>
      <w:hyperlink r:id="rId21">
        <w:r w:rsidDel="00000000" w:rsidR="00000000" w:rsidRPr="00000000">
          <w:rPr>
            <w:rFonts w:ascii="Calibri" w:cs="Calibri" w:eastAsia="Calibri" w:hAnsi="Calibri"/>
            <w:rtl w:val="0"/>
          </w:rPr>
          <w:t xml:space="preserve">. https://www.sciendo.com/pl/chapter/9788366675643/10.2478/9788366675643-005</w:t>
        </w:r>
      </w:hyperlink>
      <w:r w:rsidDel="00000000" w:rsidR="00000000" w:rsidRPr="00000000">
        <w:rPr>
          <w:rtl w:val="0"/>
        </w:rPr>
      </w:r>
    </w:p>
    <w:p w:rsidR="00000000" w:rsidDel="00000000" w:rsidP="00000000" w:rsidRDefault="00000000" w:rsidRPr="00000000" w14:paraId="0000002F">
      <w:pPr>
        <w:spacing w:after="240" w:before="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30">
      <w:pPr>
        <w:spacing w:after="240" w:before="240" w:line="360" w:lineRule="auto"/>
        <w:rPr>
          <w:rFonts w:ascii="Calibri" w:cs="Calibri" w:eastAsia="Calibri" w:hAnsi="Calibri"/>
          <w:color w:val="000000"/>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tl w:val="0"/>
        </w:rPr>
      </w:r>
    </w:p>
    <w:sectPr>
      <w:headerReference r:id="rId22" w:type="default"/>
      <w:footerReference r:id="rId23" w:type="default"/>
      <w:footerReference r:id="rId24"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rPr/>
    </w:pPr>
    <w:r w:rsidDel="00000000" w:rsidR="00000000" w:rsidRPr="00000000">
      <w:rPr>
        <w:color w:val="1d2125"/>
        <w:sz w:val="20"/>
        <w:szCs w:val="20"/>
        <w:highlight w:val="white"/>
      </w:rPr>
      <w:drawing>
        <wp:inline distB="114300" distT="114300" distL="114300" distR="114300">
          <wp:extent cx="1063113" cy="190500"/>
          <wp:effectExtent b="0" l="0" r="0" t="0"/>
          <wp:docPr id="4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3113" cy="190500"/>
                  </a:xfrm>
                  <a:prstGeom prst="rect"/>
                  <a:ln/>
                </pic:spPr>
              </pic:pic>
            </a:graphicData>
          </a:graphic>
        </wp:inline>
      </w:drawing>
    </w:r>
    <w:r w:rsidDel="00000000" w:rsidR="00000000" w:rsidRPr="00000000">
      <w:rPr>
        <w:color w:val="1d2125"/>
        <w:sz w:val="20"/>
        <w:szCs w:val="20"/>
        <w:highlight w:val="white"/>
        <w:rtl w:val="0"/>
      </w:rPr>
      <w:t xml:space="preserve">Objektui </w:t>
    </w:r>
    <w:r w:rsidDel="00000000" w:rsidR="00000000" w:rsidRPr="00000000">
      <w:rPr>
        <w:rtl w:val="0"/>
      </w:rPr>
      <w:t xml:space="preserve">Mokomoji medžiaga "Besimokančiųjų stebėsena, parama ir įtrauktis </w:t>
    </w:r>
    <w:hyperlink r:id="rId2">
      <w:r w:rsidDel="00000000" w:rsidR="00000000" w:rsidRPr="00000000">
        <w:rPr>
          <w:color w:val="8b1a4a"/>
          <w:rtl w:val="0"/>
        </w:rPr>
        <w:t xml:space="preserve">mokymosi duomenų analizė</w:t>
      </w:r>
    </w:hyperlink>
    <w:r w:rsidDel="00000000" w:rsidR="00000000" w:rsidRPr="00000000">
      <w:rPr>
        <w:rtl w:val="0"/>
      </w:rPr>
      <w:t xml:space="preserve">s pagrindu", kurį sukūrė </w:t>
    </w:r>
    <w:hyperlink r:id="rId3">
      <w:r w:rsidDel="00000000" w:rsidR="00000000" w:rsidRPr="00000000">
        <w:rPr>
          <w:color w:val="8b1a4a"/>
          <w:sz w:val="20"/>
          <w:szCs w:val="20"/>
          <w:highlight w:val="white"/>
          <w:rtl w:val="0"/>
        </w:rPr>
        <w:t xml:space="preserve">Maina, M.F., Guàrdia, L., Duart, J.M., Mancini, F., Malerba, M.L., Volungeviciene, A., Tamoliune, G.</w:t>
      </w:r>
    </w:hyperlink>
    <w:r w:rsidDel="00000000" w:rsidR="00000000" w:rsidRPr="00000000">
      <w:rPr>
        <w:color w:val="1d2125"/>
        <w:sz w:val="20"/>
        <w:szCs w:val="20"/>
        <w:highlight w:val="white"/>
        <w:rtl w:val="0"/>
      </w:rPr>
      <w:t xml:space="preserve">, yra suteikta </w:t>
    </w:r>
    <w:hyperlink r:id="rId4">
      <w:r w:rsidDel="00000000" w:rsidR="00000000" w:rsidRPr="00000000">
        <w:rPr>
          <w:color w:val="8b1a4a"/>
          <w:sz w:val="20"/>
          <w:szCs w:val="20"/>
          <w:highlight w:val="white"/>
          <w:rtl w:val="0"/>
        </w:rPr>
        <w:t xml:space="preserve">Creative Commons Priskyrimas - Analogiškas platinimas 4.0 Tarptautinė licencija</w:t>
      </w:r>
    </w:hyperlink>
    <w:r w:rsidDel="00000000" w:rsidR="00000000" w:rsidRPr="00000000">
      <w:rPr>
        <w:color w:val="1d2125"/>
        <w:sz w:val="20"/>
        <w:szCs w:val="20"/>
        <w:highlight w:val="white"/>
        <w:rtl w:val="0"/>
      </w:rPr>
      <w:t xml:space="preserve">.</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A">
    <w:pPr>
      <w:jc w:val="cente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28584</wp:posOffset>
          </wp:positionV>
          <wp:extent cx="2033588" cy="430182"/>
          <wp:effectExtent b="0" l="0" r="0" t="0"/>
          <wp:wrapNone/>
          <wp:docPr id="4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28581</wp:posOffset>
          </wp:positionV>
          <wp:extent cx="1446609" cy="428625"/>
          <wp:effectExtent b="0" l="0" r="0" t="0"/>
          <wp:wrapNone/>
          <wp:docPr id="4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32">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33">
    <w:pPr>
      <w:rPr>
        <w:i w:val="1"/>
        <w:sz w:val="20"/>
        <w:szCs w:val="20"/>
      </w:rPr>
    </w:pPr>
    <w:r w:rsidDel="00000000" w:rsidR="00000000" w:rsidRPr="00000000">
      <w:rPr>
        <w:rtl w:val="0"/>
      </w:rPr>
    </w:r>
  </w:p>
  <w:p w:rsidR="00000000" w:rsidDel="00000000" w:rsidP="00000000" w:rsidRDefault="00000000" w:rsidRPr="00000000" w14:paraId="00000034">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Ttol1">
    <w:name w:val="heading 1"/>
    <w:basedOn w:val="Normal"/>
    <w:next w:val="Normal"/>
    <w:uiPriority w:val="9"/>
    <w:qFormat w:val="1"/>
    <w:pPr>
      <w:keepNext w:val="1"/>
      <w:keepLines w:val="1"/>
      <w:spacing w:after="120" w:before="400"/>
      <w:outlineLvl w:val="0"/>
    </w:pPr>
    <w:rPr>
      <w:sz w:val="40"/>
      <w:szCs w:val="40"/>
    </w:rPr>
  </w:style>
  <w:style w:type="paragraph" w:styleId="Ttol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ol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ol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ol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ol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o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Subttol">
    <w:name w:val="Subtitle"/>
    <w:basedOn w:val="Normal"/>
    <w:next w:val="Normal"/>
    <w:pPr>
      <w:keepNext w:val="1"/>
      <w:keepLines w:val="1"/>
      <w:spacing w:after="320"/>
    </w:pPr>
    <w:rPr>
      <w:color w:val="666666"/>
      <w:sz w:val="30"/>
      <w:szCs w:val="30"/>
    </w:rPr>
  </w:style>
  <w:style w:type="paragraph" w:styleId="Capalera">
    <w:name w:val="header"/>
    <w:basedOn w:val="Normal"/>
    <w:link w:val="CapaleraCar"/>
    <w:uiPriority w:val="99"/>
    <w:unhideWhenUsed w:val="1"/>
    <w:rsid w:val="00A21E87"/>
    <w:pPr>
      <w:tabs>
        <w:tab w:val="center" w:pos="4680"/>
        <w:tab w:val="right" w:pos="9360"/>
      </w:tabs>
    </w:pPr>
  </w:style>
  <w:style w:type="character" w:styleId="CapaleraCar" w:customStyle="1">
    <w:name w:val="Capçalera Car"/>
    <w:basedOn w:val="Tipusdelletraperdefectedelpargraf"/>
    <w:link w:val="Capalera"/>
    <w:uiPriority w:val="99"/>
    <w:rsid w:val="00A21E87"/>
  </w:style>
  <w:style w:type="paragraph" w:styleId="Peu">
    <w:name w:val="footer"/>
    <w:basedOn w:val="Normal"/>
    <w:link w:val="PeuCar"/>
    <w:uiPriority w:val="99"/>
    <w:unhideWhenUsed w:val="1"/>
    <w:rsid w:val="00A21E87"/>
    <w:pPr>
      <w:tabs>
        <w:tab w:val="center" w:pos="4680"/>
        <w:tab w:val="right" w:pos="9360"/>
      </w:tabs>
    </w:pPr>
  </w:style>
  <w:style w:type="character" w:styleId="PeuCar" w:customStyle="1">
    <w:name w:val="Peu Car"/>
    <w:basedOn w:val="Tipusdelletraperdefectedelpargraf"/>
    <w:link w:val="Peu"/>
    <w:uiPriority w:val="99"/>
    <w:rsid w:val="00A21E87"/>
  </w:style>
  <w:style w:type="paragraph" w:styleId="Pargrafdellista">
    <w:name w:val="List Paragraph"/>
    <w:basedOn w:val="Normal"/>
    <w:uiPriority w:val="34"/>
    <w:qFormat w:val="1"/>
    <w:rsid w:val="00420F85"/>
    <w:pPr>
      <w:ind w:left="720"/>
      <w:contextualSpacing w:val="1"/>
    </w:pPr>
  </w:style>
  <w:style w:type="character" w:styleId="Enlla">
    <w:name w:val="Hyperlink"/>
    <w:basedOn w:val="Tipusdelletraperdefectedelpargraf"/>
    <w:uiPriority w:val="99"/>
    <w:unhideWhenUsed w:val="1"/>
    <w:rsid w:val="00420F85"/>
    <w:rPr>
      <w:color w:val="0000ff"/>
      <w:u w:val="single"/>
    </w:rPr>
  </w:style>
  <w:style w:type="character" w:styleId="Nmerodepgina">
    <w:name w:val="page number"/>
    <w:basedOn w:val="Tipusdelletraperdefectedelpargraf"/>
    <w:uiPriority w:val="99"/>
    <w:semiHidden w:val="1"/>
    <w:unhideWhenUsed w:val="1"/>
    <w:rsid w:val="00420F85"/>
  </w:style>
  <w:style w:type="character" w:styleId="ref-lnk" w:customStyle="1">
    <w:name w:val="ref-lnk"/>
    <w:basedOn w:val="Tipusdelletraperdefectedelpargraf"/>
    <w:rsid w:val="00721C9E"/>
  </w:style>
  <w:style w:type="character" w:styleId="singlehighlightclass" w:customStyle="1">
    <w:name w:val="single_highlight_class"/>
    <w:basedOn w:val="Tipusdelletraperdefectedelpargraf"/>
    <w:rsid w:val="00721C9E"/>
  </w:style>
  <w:style w:type="character" w:styleId="searchnone" w:customStyle="1">
    <w:name w:val="searchnone"/>
    <w:basedOn w:val="Tipusdelletraperdefectedelpargraf"/>
    <w:rsid w:val="0039043D"/>
  </w:style>
  <w:style w:type="table" w:styleId="a" w:customStyle="1">
    <w:basedOn w:val="TableNormal4"/>
    <w:tblPr>
      <w:tblStyleRowBandSize w:val="1"/>
      <w:tblStyleColBandSize w:val="1"/>
      <w:tblCellMar>
        <w:top w:w="100.0" w:type="dxa"/>
        <w:left w:w="100.0" w:type="dxa"/>
        <w:bottom w:w="100.0" w:type="dxa"/>
        <w:right w:w="100.0" w:type="dxa"/>
      </w:tblCellMar>
    </w:tblPr>
  </w:style>
  <w:style w:type="table" w:styleId="a0" w:customStyle="1">
    <w:basedOn w:val="TableNormal4"/>
    <w:tblPr>
      <w:tblStyleRowBandSize w:val="1"/>
      <w:tblStyleColBandSize w:val="1"/>
      <w:tblCellMar>
        <w:top w:w="100.0" w:type="dxa"/>
        <w:left w:w="100.0" w:type="dxa"/>
        <w:bottom w:w="100.0" w:type="dxa"/>
        <w:right w:w="100.0" w:type="dxa"/>
      </w:tblCellMar>
    </w:tblPr>
  </w:style>
  <w:style w:type="table" w:styleId="a1" w:customStyle="1">
    <w:basedOn w:val="TableNormal4"/>
    <w:tblPr>
      <w:tblStyleRowBandSize w:val="1"/>
      <w:tblStyleColBandSize w:val="1"/>
      <w:tblCellMar>
        <w:top w:w="100.0" w:type="dxa"/>
        <w:left w:w="100.0" w:type="dxa"/>
        <w:bottom w:w="100.0" w:type="dxa"/>
        <w:right w:w="100.0" w:type="dxa"/>
      </w:tblCellMar>
    </w:tblPr>
  </w:style>
  <w:style w:type="table" w:styleId="a2" w:customStyle="1">
    <w:basedOn w:val="TableNormal4"/>
    <w:tblPr>
      <w:tblStyleRowBandSize w:val="1"/>
      <w:tblStyleColBandSize w:val="1"/>
      <w:tblCellMar>
        <w:top w:w="100.0" w:type="dxa"/>
        <w:left w:w="100.0" w:type="dxa"/>
        <w:bottom w:w="100.0" w:type="dxa"/>
        <w:right w:w="100.0" w:type="dxa"/>
      </w:tblCellMar>
    </w:tblPr>
  </w:style>
  <w:style w:type="table" w:styleId="a3" w:customStyle="1">
    <w:basedOn w:val="TableNormal4"/>
    <w:tblPr>
      <w:tblStyleRowBandSize w:val="1"/>
      <w:tblStyleColBandSize w:val="1"/>
      <w:tblCellMar>
        <w:top w:w="100.0" w:type="dxa"/>
        <w:left w:w="100.0" w:type="dxa"/>
        <w:bottom w:w="100.0" w:type="dxa"/>
        <w:right w:w="100.0" w:type="dxa"/>
      </w:tblCellMar>
    </w:tblPr>
  </w:style>
  <w:style w:type="table" w:styleId="a4" w:customStyle="1">
    <w:basedOn w:val="TableNormal4"/>
    <w:tblPr>
      <w:tblStyleRowBandSize w:val="1"/>
      <w:tblStyleColBandSize w:val="1"/>
      <w:tblCellMar>
        <w:top w:w="100.0" w:type="dxa"/>
        <w:left w:w="100.0" w:type="dxa"/>
        <w:bottom w:w="100.0" w:type="dxa"/>
        <w:right w:w="100.0" w:type="dxa"/>
      </w:tblCellMar>
    </w:tblPr>
  </w:style>
  <w:style w:type="table" w:styleId="a5" w:customStyle="1">
    <w:basedOn w:val="TableNormal4"/>
    <w:tblPr>
      <w:tblStyleRowBandSize w:val="1"/>
      <w:tblStyleColBandSize w:val="1"/>
      <w:tblCellMar>
        <w:top w:w="100.0" w:type="dxa"/>
        <w:left w:w="100.0" w:type="dxa"/>
        <w:bottom w:w="100.0" w:type="dxa"/>
        <w:right w:w="100.0" w:type="dxa"/>
      </w:tblCellMar>
    </w:tblPr>
  </w:style>
  <w:style w:type="paragraph" w:styleId="Textdeglobus">
    <w:name w:val="Balloon Text"/>
    <w:basedOn w:val="Normal"/>
    <w:link w:val="TextdeglobusCar"/>
    <w:uiPriority w:val="99"/>
    <w:semiHidden w:val="1"/>
    <w:unhideWhenUsed w:val="1"/>
    <w:rsid w:val="00156D2B"/>
    <w:rPr>
      <w:rFonts w:ascii="Segoe UI" w:cs="Segoe UI" w:hAnsi="Segoe UI"/>
      <w:sz w:val="18"/>
      <w:szCs w:val="18"/>
    </w:rPr>
  </w:style>
  <w:style w:type="character" w:styleId="TextdeglobusCar" w:customStyle="1">
    <w:name w:val="Text de globus Car"/>
    <w:basedOn w:val="Tipusdelletraperdefectedelpargraf"/>
    <w:link w:val="Textdeglobus"/>
    <w:uiPriority w:val="99"/>
    <w:semiHidden w:val="1"/>
    <w:rsid w:val="00156D2B"/>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2478/9788366675643-005" TargetMode="External"/><Relationship Id="rId11" Type="http://schemas.openxmlformats.org/officeDocument/2006/relationships/hyperlink" Target="https://doi.org/10.1080/01587919.2019.1637716" TargetMode="External"/><Relationship Id="rId22" Type="http://schemas.openxmlformats.org/officeDocument/2006/relationships/header" Target="header1.xml"/><Relationship Id="rId10" Type="http://schemas.openxmlformats.org/officeDocument/2006/relationships/hyperlink" Target="https://doi.org/10.1080/02602938.2020.1764490" TargetMode="External"/><Relationship Id="rId21" Type="http://schemas.openxmlformats.org/officeDocument/2006/relationships/hyperlink" Target="https://www.sciendo.com/pl/chapter/9788366675643/10.2478/9788366675643-005" TargetMode="External"/><Relationship Id="rId13" Type="http://schemas.openxmlformats.org/officeDocument/2006/relationships/hyperlink" Target="https://doi.org/10.1109/TLT.2019.2916802" TargetMode="External"/><Relationship Id="rId24" Type="http://schemas.openxmlformats.org/officeDocument/2006/relationships/footer" Target="footer2.xml"/><Relationship Id="rId12" Type="http://schemas.openxmlformats.org/officeDocument/2006/relationships/hyperlink" Target="https://doi.org/10.1111/bjet.12868"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09/TLT.2017.2720670" TargetMode="External"/><Relationship Id="rId15" Type="http://schemas.openxmlformats.org/officeDocument/2006/relationships/hyperlink" Target="https://doi.org/10.1016/j.compedu.2021.104192" TargetMode="External"/><Relationship Id="rId14" Type="http://schemas.openxmlformats.org/officeDocument/2006/relationships/hyperlink" Target="https://doi.org/10.1016/j.chb.2018.05.004" TargetMode="External"/><Relationship Id="rId17" Type="http://schemas.openxmlformats.org/officeDocument/2006/relationships/hyperlink" Target="https://www.sciendo.com/pl/chapter/9788366675643/10.2478/9788366675643-005" TargetMode="External"/><Relationship Id="rId16" Type="http://schemas.openxmlformats.org/officeDocument/2006/relationships/hyperlink" Target="http://dx.doi.org/10.17718/tojde.12984" TargetMode="External"/><Relationship Id="rId5" Type="http://schemas.openxmlformats.org/officeDocument/2006/relationships/styles" Target="styles.xml"/><Relationship Id="rId19" Type="http://schemas.openxmlformats.org/officeDocument/2006/relationships/hyperlink" Target="https://www.sciendo.com/pl/chapter/9788366675643/10.2478/9788366675643-005" TargetMode="External"/><Relationship Id="rId6" Type="http://schemas.openxmlformats.org/officeDocument/2006/relationships/customXml" Target="../customXML/item1.xml"/><Relationship Id="rId18" Type="http://schemas.openxmlformats.org/officeDocument/2006/relationships/hyperlink" Target="https://www.sciendo.com/pl/chapter/9788366675643/10.2478/9788366675643-005" TargetMode="External"/><Relationship Id="rId7" Type="http://schemas.openxmlformats.org/officeDocument/2006/relationships/image" Target="media/image4.png"/><Relationship Id="rId8" Type="http://schemas.openxmlformats.org/officeDocument/2006/relationships/hyperlink" Target="https://doi.org/10.1109/TLT.2017.274017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teacamp.vdu.lt/mod/glossary/showentry.php?eid=52&amp;displayformat=dictionary" TargetMode="External"/><Relationship Id="rId3" Type="http://schemas.openxmlformats.org/officeDocument/2006/relationships/hyperlink" Target="https://teacamp.vdu.lt/course/view.php?id=96" TargetMode="External"/><Relationship Id="rId4"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k3He98MdN44TTS80687zRGyzNg==">CgMxLjAyDmguaXQwdTg1bnQ5b2poMghoLmdqZGd4czIOaC53eGp3bjljdW45c2IyDmgubGxwbjRkYmpsbGl5Mg5oLm5mNjh1N2h4dDVyaTIOaC4zMDU4ZDJ6OWNwbWIyDmguZDA0eHN1dHN2bG41Mg5oLjJqZnUxcTExazNjNTIOaC5wZmF4YjB5ZW9jdzA4AHIhMWtsUUNrcF90Q1RiZ1p2bXJtU3VGeGhYcjZhNHRRVkZO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2022-06-22T11:22:00Z</dcterms:created>
</cp:coreProperties>
</file>