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before="240" w:line="276" w:lineRule="auto"/>
        <w:rPr>
          <w:rFonts w:ascii="Calibri" w:cs="Calibri" w:eastAsia="Calibri" w:hAnsi="Calibri"/>
          <w:b w:val="1"/>
          <w:sz w:val="30"/>
          <w:szCs w:val="30"/>
        </w:rPr>
      </w:pPr>
      <w:bookmarkStart w:colFirst="0" w:colLast="0" w:name="_heading=h.it0u85nt9ojh" w:id="0"/>
      <w:bookmarkEnd w:id="0"/>
      <w:r w:rsidDel="00000000" w:rsidR="00000000" w:rsidRPr="00000000">
        <w:rPr>
          <w:sz w:val="14"/>
          <w:szCs w:val="14"/>
          <w:rtl w:val="0"/>
        </w:rPr>
        <w:t xml:space="preserve"> </w:t>
      </w:r>
      <w:r w:rsidDel="00000000" w:rsidR="00000000" w:rsidRPr="00000000">
        <w:rPr>
          <w:rFonts w:ascii="Calibri" w:cs="Calibri" w:eastAsia="Calibri" w:hAnsi="Calibri"/>
          <w:b w:val="1"/>
          <w:sz w:val="30"/>
          <w:szCs w:val="30"/>
          <w:rtl w:val="0"/>
        </w:rPr>
        <w:t xml:space="preserve">Įrodymais pagrįstų duomenų analizė ir interpretavimas siekiant suteikti informaciją apie mokymą ir mokymąsi</w:t>
      </w:r>
      <w:r w:rsidDel="00000000" w:rsidR="00000000" w:rsidRPr="00000000">
        <w:rPr>
          <w:rtl w:val="0"/>
        </w:rPr>
      </w:r>
    </w:p>
    <w:p w:rsidR="00000000" w:rsidDel="00000000" w:rsidP="00000000" w:rsidRDefault="00000000" w:rsidRPr="00000000" w14:paraId="00000002">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Savitikros testas</w:t>
      </w:r>
    </w:p>
    <w:p w:rsidR="00000000" w:rsidDel="00000000" w:rsidP="00000000" w:rsidRDefault="00000000" w:rsidRPr="00000000" w14:paraId="00000004">
      <w:pPr>
        <w:rPr>
          <w:rFonts w:ascii="Calibri" w:cs="Calibri" w:eastAsia="Calibri" w:hAnsi="Calibri"/>
          <w:highlight w:val="white"/>
        </w:rPr>
      </w:pPr>
      <w:r w:rsidDel="00000000" w:rsidR="00000000" w:rsidRPr="00000000">
        <w:rPr>
          <w:rFonts w:ascii="Calibri" w:cs="Calibri" w:eastAsia="Calibri" w:hAnsi="Calibri"/>
          <w:b w:val="1"/>
          <w:rtl w:val="0"/>
        </w:rPr>
        <w:t xml:space="preserve">           </w:t>
      </w:r>
      <w:r w:rsidDel="00000000" w:rsidR="00000000" w:rsidRPr="00000000">
        <w:rPr>
          <w:rtl w:val="0"/>
        </w:rPr>
      </w:r>
    </w:p>
    <w:p w:rsidR="00000000" w:rsidDel="00000000" w:rsidP="00000000" w:rsidRDefault="00000000" w:rsidRPr="00000000" w14:paraId="00000005">
      <w:pPr>
        <w:numPr>
          <w:ilvl w:val="0"/>
          <w:numId w:val="1"/>
        </w:numPr>
        <w:spacing w:before="240" w:lineRule="auto"/>
        <w:ind w:left="425"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Svarbu nuo pat pirmos paskaitos informuoti studentus, kad dėstytojas gali gauti ir stebėti duomenis, susijusius su jų dalyvavimu nuotolinėje mokymosi aplinkoje, paaiškinant, kokie duomenys gaunami ir analizuojami, kam jie naudojami ir kaip užtikrinama duomenų apsauga.</w:t>
      </w:r>
    </w:p>
    <w:p w:rsidR="00000000" w:rsidDel="00000000" w:rsidP="00000000" w:rsidRDefault="00000000" w:rsidRPr="00000000" w14:paraId="00000006">
      <w:pPr>
        <w:numPr>
          <w:ilvl w:val="0"/>
          <w:numId w:val="3"/>
        </w:numPr>
        <w:ind w:left="720" w:hanging="360"/>
        <w:rPr>
          <w:rFonts w:ascii="Calibri" w:cs="Calibri" w:eastAsia="Calibri" w:hAnsi="Calibri"/>
        </w:rPr>
      </w:pPr>
      <w:r w:rsidDel="00000000" w:rsidR="00000000" w:rsidRPr="00000000">
        <w:rPr>
          <w:rFonts w:ascii="Calibri" w:cs="Calibri" w:eastAsia="Calibri" w:hAnsi="Calibri"/>
          <w:highlight w:val="white"/>
          <w:rtl w:val="0"/>
        </w:rPr>
        <w:t xml:space="preserve">Tiesa</w:t>
      </w:r>
      <w:r w:rsidDel="00000000" w:rsidR="00000000" w:rsidRPr="00000000">
        <w:rPr>
          <w:rFonts w:ascii="Calibri" w:cs="Calibri" w:eastAsia="Calibri" w:hAnsi="Calibri"/>
          <w:sz w:val="14"/>
          <w:szCs w:val="14"/>
          <w:highlight w:val="white"/>
          <w:rtl w:val="0"/>
        </w:rPr>
        <w:t xml:space="preserve">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07">
      <w:pPr>
        <w:numPr>
          <w:ilvl w:val="0"/>
          <w:numId w:val="3"/>
        </w:numPr>
        <w:spacing w:after="240" w:lineRule="auto"/>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False </w:t>
      </w:r>
      <w:r w:rsidDel="00000000" w:rsidR="00000000" w:rsidRPr="00000000">
        <w:rPr>
          <w:rFonts w:ascii="Calibri" w:cs="Calibri" w:eastAsia="Calibri" w:hAnsi="Calibri"/>
          <w:i w:val="1"/>
          <w:color w:val="ff0000"/>
          <w:highlight w:val="white"/>
          <w:rtl w:val="0"/>
        </w:rPr>
        <w:t xml:space="preserve">Neteisingai. Dėstytojams labai svarbu užtikrinti, kad duomenys būtų tvarkomi etiškai, nes mokymosi valdymo sistemoje surenkama labai daug asmeninių duomenų.  </w:t>
      </w:r>
      <w:r w:rsidDel="00000000" w:rsidR="00000000" w:rsidRPr="00000000">
        <w:rPr>
          <w:rtl w:val="0"/>
        </w:rPr>
      </w:r>
    </w:p>
    <w:p w:rsidR="00000000" w:rsidDel="00000000" w:rsidP="00000000" w:rsidRDefault="00000000" w:rsidRPr="00000000" w14:paraId="00000008">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09">
      <w:pPr>
        <w:rPr>
          <w:rFonts w:ascii="Calibri" w:cs="Calibri" w:eastAsia="Calibri" w:hAnsi="Calibri"/>
          <w:highlight w:val="white"/>
        </w:rPr>
      </w:pPr>
      <w:r w:rsidDel="00000000" w:rsidR="00000000" w:rsidRPr="00000000">
        <w:rPr>
          <w:rFonts w:ascii="Calibri" w:cs="Calibri" w:eastAsia="Calibri" w:hAnsi="Calibri"/>
          <w:highlight w:val="white"/>
          <w:rtl w:val="0"/>
        </w:rPr>
        <w:t xml:space="preserve">2. Kiekybiniai kriterijai, galintys suteikti informacijos apie besimokančiųjų elgseną: (galimas daugiau nei vienas atsakymas):</w:t>
      </w:r>
    </w:p>
    <w:p w:rsidR="00000000" w:rsidDel="00000000" w:rsidP="00000000" w:rsidRDefault="00000000" w:rsidRPr="00000000" w14:paraId="0000000A">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Prisijungimai ir paspaudimai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0B">
      <w:pPr>
        <w:numPr>
          <w:ilvl w:val="0"/>
          <w:numId w:val="7"/>
        </w:numPr>
        <w:ind w:left="720" w:hanging="360"/>
        <w:rPr>
          <w:rFonts w:ascii="Calibri" w:cs="Calibri" w:eastAsia="Calibri" w:hAnsi="Calibri"/>
          <w:b w:val="1"/>
          <w:highlight w:val="white"/>
        </w:rPr>
      </w:pPr>
      <w:r w:rsidDel="00000000" w:rsidR="00000000" w:rsidRPr="00000000">
        <w:rPr>
          <w:rFonts w:ascii="Calibri" w:cs="Calibri" w:eastAsia="Calibri" w:hAnsi="Calibri"/>
          <w:highlight w:val="white"/>
          <w:rtl w:val="0"/>
        </w:rPr>
        <w:t xml:space="preserve">Prisijungimo trukmė</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0C">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Interviu su studentais    </w:t>
      </w:r>
      <w:r w:rsidDel="00000000" w:rsidR="00000000" w:rsidRPr="00000000">
        <w:rPr>
          <w:rFonts w:ascii="Calibri" w:cs="Calibri" w:eastAsia="Calibri" w:hAnsi="Calibri"/>
          <w:i w:val="1"/>
          <w:color w:val="ff0000"/>
          <w:highlight w:val="white"/>
          <w:rtl w:val="0"/>
        </w:rPr>
        <w:t xml:space="preserve">Neteisingai! Tai kokybinis kriterijus</w:t>
      </w:r>
      <w:r w:rsidDel="00000000" w:rsidR="00000000" w:rsidRPr="00000000">
        <w:rPr>
          <w:rtl w:val="0"/>
        </w:rPr>
      </w:r>
    </w:p>
    <w:p w:rsidR="00000000" w:rsidDel="00000000" w:rsidP="00000000" w:rsidRDefault="00000000" w:rsidRPr="00000000" w14:paraId="0000000D">
      <w:pPr>
        <w:numPr>
          <w:ilvl w:val="0"/>
          <w:numId w:val="7"/>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Įrašų diskusijų forumuose skaičius</w:t>
      </w:r>
      <w:r w:rsidDel="00000000" w:rsidR="00000000" w:rsidRPr="00000000">
        <w:rPr>
          <w:rFonts w:ascii="Calibri" w:cs="Calibri" w:eastAsia="Calibri" w:hAnsi="Calibri"/>
          <w:b w:val="1"/>
          <w:highlight w:val="white"/>
          <w:rtl w:val="0"/>
        </w:rPr>
        <w:t xml:space="preserve">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0E">
      <w:pPr>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0F">
      <w:pPr>
        <w:rPr>
          <w:rFonts w:ascii="Calibri" w:cs="Calibri" w:eastAsia="Calibri" w:hAnsi="Calibri"/>
        </w:rPr>
      </w:pPr>
      <w:r w:rsidDel="00000000" w:rsidR="00000000" w:rsidRPr="00000000">
        <w:rPr>
          <w:rFonts w:ascii="Calibri" w:cs="Calibri" w:eastAsia="Calibri" w:hAnsi="Calibri"/>
          <w:rtl w:val="0"/>
        </w:rPr>
        <w:t xml:space="preserve">3. Kokie duomenų šaltiniai galėtų informuoti dėstytojus apie besimokančiųjų įsitraukimą? Pasirinkite visus tinkamus variantus</w:t>
      </w:r>
    </w:p>
    <w:p w:rsidR="00000000" w:rsidDel="00000000" w:rsidP="00000000" w:rsidRDefault="00000000" w:rsidRPr="00000000" w14:paraId="00000010">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Dalyvavimas diskusijų forumuose</w:t>
      </w:r>
      <w:r w:rsidDel="00000000" w:rsidR="00000000" w:rsidRPr="00000000">
        <w:rPr>
          <w:rFonts w:ascii="Calibri" w:cs="Calibri" w:eastAsia="Calibri" w:hAnsi="Calibri"/>
          <w:i w:val="1"/>
          <w:color w:val="00ff00"/>
          <w:rtl w:val="0"/>
        </w:rPr>
        <w:t xml:space="preserve"> Teisingai</w:t>
      </w:r>
      <w:r w:rsidDel="00000000" w:rsidR="00000000" w:rsidRPr="00000000">
        <w:rPr>
          <w:rtl w:val="0"/>
        </w:rPr>
      </w:r>
    </w:p>
    <w:p w:rsidR="00000000" w:rsidDel="00000000" w:rsidP="00000000" w:rsidRDefault="00000000" w:rsidRPr="00000000" w14:paraId="00000011">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Dalyko progreso juosta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12">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Dalyvavimas savitikros veiklose </w:t>
      </w:r>
      <w:r w:rsidDel="00000000" w:rsidR="00000000" w:rsidRPr="00000000">
        <w:rPr>
          <w:rFonts w:ascii="Calibri" w:cs="Calibri" w:eastAsia="Calibri" w:hAnsi="Calibri"/>
          <w:i w:val="1"/>
          <w:color w:val="00ff00"/>
          <w:rtl w:val="0"/>
        </w:rPr>
        <w:t xml:space="preserve">Teisingai!</w:t>
      </w:r>
      <w:r w:rsidDel="00000000" w:rsidR="00000000" w:rsidRPr="00000000">
        <w:rPr>
          <w:rtl w:val="0"/>
        </w:rPr>
      </w:r>
    </w:p>
    <w:p w:rsidR="00000000" w:rsidDel="00000000" w:rsidP="00000000" w:rsidRDefault="00000000" w:rsidRPr="00000000" w14:paraId="00000013">
      <w:pPr>
        <w:numPr>
          <w:ilvl w:val="0"/>
          <w:numId w:val="5"/>
        </w:numPr>
        <w:ind w:left="720" w:hanging="360"/>
        <w:rPr>
          <w:rFonts w:ascii="Calibri" w:cs="Calibri" w:eastAsia="Calibri" w:hAnsi="Calibri"/>
        </w:rPr>
      </w:pPr>
      <w:r w:rsidDel="00000000" w:rsidR="00000000" w:rsidRPr="00000000">
        <w:rPr>
          <w:rFonts w:ascii="Calibri" w:cs="Calibri" w:eastAsia="Calibri" w:hAnsi="Calibri"/>
          <w:rtl w:val="0"/>
        </w:rPr>
        <w:t xml:space="preserve">Prisijungimų prie dalyko turinio dažnumas</w:t>
      </w:r>
      <w:r w:rsidDel="00000000" w:rsidR="00000000" w:rsidRPr="00000000">
        <w:rPr>
          <w:rFonts w:ascii="Calibri" w:cs="Calibri" w:eastAsia="Calibri" w:hAnsi="Calibri"/>
          <w:i w:val="1"/>
          <w:color w:val="00ff00"/>
          <w:rtl w:val="0"/>
        </w:rPr>
        <w:t xml:space="preserve"> Teisingai!</w:t>
      </w:r>
      <w:r w:rsidDel="00000000" w:rsidR="00000000" w:rsidRPr="00000000">
        <w:rPr>
          <w:rtl w:val="0"/>
        </w:rPr>
      </w:r>
    </w:p>
    <w:p w:rsidR="00000000" w:rsidDel="00000000" w:rsidP="00000000" w:rsidRDefault="00000000" w:rsidRPr="00000000" w14:paraId="00000014">
      <w:pPr>
        <w:numPr>
          <w:ilvl w:val="0"/>
          <w:numId w:val="5"/>
        </w:numPr>
        <w:ind w:left="720" w:hanging="360"/>
        <w:rPr>
          <w:rFonts w:ascii="Calibri" w:cs="Calibri" w:eastAsia="Calibri" w:hAnsi="Calibri"/>
          <w:b w:val="1"/>
        </w:rPr>
      </w:pPr>
      <w:r w:rsidDel="00000000" w:rsidR="00000000" w:rsidRPr="00000000">
        <w:rPr>
          <w:rFonts w:ascii="Calibri" w:cs="Calibri" w:eastAsia="Calibri" w:hAnsi="Calibri"/>
          <w:rtl w:val="0"/>
        </w:rPr>
        <w:t xml:space="preserve">Besimokančiojo asmeninės charakterio savybės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i w:val="1"/>
          <w:color w:val="ff0000"/>
          <w:rtl w:val="0"/>
        </w:rPr>
        <w:t xml:space="preserve">Incorrect.</w:t>
      </w:r>
      <w:r w:rsidDel="00000000" w:rsidR="00000000" w:rsidRPr="00000000">
        <w:rPr>
          <w:rtl w:val="0"/>
        </w:rPr>
      </w:r>
    </w:p>
    <w:p w:rsidR="00000000" w:rsidDel="00000000" w:rsidP="00000000" w:rsidRDefault="00000000" w:rsidRPr="00000000" w14:paraId="00000015">
      <w:pPr>
        <w:widowControl w:val="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6">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4. Kaip įrodymais pagrįstos dalyko ataskaitos gali padėti dėstytojams skatinti besimokančiųjų savivaldų mokymąsi ir tobulinti mokymosi turinį?</w:t>
      </w:r>
    </w:p>
    <w:p w:rsidR="00000000" w:rsidDel="00000000" w:rsidP="00000000" w:rsidRDefault="00000000" w:rsidRPr="00000000" w14:paraId="00000017">
      <w:pPr>
        <w:widowControl w:val="0"/>
        <w:numPr>
          <w:ilvl w:val="0"/>
          <w:numId w:val="6"/>
        </w:numPr>
        <w:spacing w:befor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Ataskaitose nurodoma, ar lengva pasiekti ir išklausyti dalyką. </w:t>
      </w:r>
      <w:r w:rsidDel="00000000" w:rsidR="00000000" w:rsidRPr="00000000">
        <w:rPr>
          <w:rFonts w:ascii="Calibri" w:cs="Calibri" w:eastAsia="Calibri" w:hAnsi="Calibri"/>
          <w:i w:val="1"/>
          <w:color w:val="ff0000"/>
          <w:rtl w:val="0"/>
        </w:rPr>
        <w:t xml:space="preserve">Neteisingai. Kadangi dalyko ataskaitose pateikiami kiekybiniai duomenys apie konkrečius dalyko kintamuosius, jos neinformuoja dėstytojų apie dalyko prieinamumo klausimus. Dėstytojams rekomenduojama kurti mokymosi veiklas, kurios suteiktų informacijos apie prieinamumą.</w:t>
      </w:r>
      <w:r w:rsidDel="00000000" w:rsidR="00000000" w:rsidRPr="00000000">
        <w:rPr>
          <w:rtl w:val="0"/>
        </w:rPr>
      </w:r>
    </w:p>
    <w:p w:rsidR="00000000" w:rsidDel="00000000" w:rsidP="00000000" w:rsidRDefault="00000000" w:rsidRPr="00000000" w14:paraId="00000018">
      <w:pPr>
        <w:widowControl w:val="0"/>
        <w:numPr>
          <w:ilvl w:val="0"/>
          <w:numId w:val="6"/>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Ataskaitos padeda nustatyti besimokančiuosius, kuriems gali prireikti papildomos pagalbos. </w:t>
      </w:r>
      <w:r w:rsidDel="00000000" w:rsidR="00000000" w:rsidRPr="00000000">
        <w:rPr>
          <w:rFonts w:ascii="Calibri" w:cs="Calibri" w:eastAsia="Calibri" w:hAnsi="Calibri"/>
          <w:i w:val="1"/>
          <w:color w:val="00ff00"/>
          <w:rtl w:val="0"/>
        </w:rPr>
        <w:t xml:space="preserve">Teisingai</w:t>
      </w:r>
      <w:r w:rsidDel="00000000" w:rsidR="00000000" w:rsidRPr="00000000">
        <w:rPr>
          <w:rFonts w:ascii="Calibri" w:cs="Calibri" w:eastAsia="Calibri" w:hAnsi="Calibri"/>
          <w:rtl w:val="0"/>
        </w:rPr>
        <w:t xml:space="preserve">!</w:t>
      </w:r>
    </w:p>
    <w:p w:rsidR="00000000" w:rsidDel="00000000" w:rsidP="00000000" w:rsidRDefault="00000000" w:rsidRPr="00000000" w14:paraId="00000019">
      <w:pPr>
        <w:widowControl w:val="0"/>
        <w:numPr>
          <w:ilvl w:val="0"/>
          <w:numId w:val="6"/>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Ataskaitos padeda nustatyti, kokių pedagoginių intervencijų gali prireikti, kad mokymasis taptų patrauklesnis. </w:t>
      </w:r>
      <w:r w:rsidDel="00000000" w:rsidR="00000000" w:rsidRPr="00000000">
        <w:rPr>
          <w:rFonts w:ascii="Calibri" w:cs="Calibri" w:eastAsia="Calibri" w:hAnsi="Calibri"/>
          <w:i w:val="1"/>
          <w:color w:val="00ff00"/>
          <w:rtl w:val="0"/>
        </w:rPr>
        <w:t xml:space="preserve">Teisingai</w:t>
      </w:r>
      <w:r w:rsidDel="00000000" w:rsidR="00000000" w:rsidRPr="00000000">
        <w:rPr>
          <w:rFonts w:ascii="Calibri" w:cs="Calibri" w:eastAsia="Calibri" w:hAnsi="Calibri"/>
          <w:rtl w:val="0"/>
        </w:rPr>
        <w:t xml:space="preserve">!</w:t>
      </w:r>
    </w:p>
    <w:p w:rsidR="00000000" w:rsidDel="00000000" w:rsidP="00000000" w:rsidRDefault="00000000" w:rsidRPr="00000000" w14:paraId="0000001A">
      <w:pPr>
        <w:widowControl w:val="0"/>
        <w:numPr>
          <w:ilvl w:val="0"/>
          <w:numId w:val="6"/>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Ataskaitos padeda nustatyti, kaip dažnai studentai naudojasi įvairiais ištekliais. </w:t>
      </w:r>
      <w:r w:rsidDel="00000000" w:rsidR="00000000" w:rsidRPr="00000000">
        <w:rPr>
          <w:rFonts w:ascii="Calibri" w:cs="Calibri" w:eastAsia="Calibri" w:hAnsi="Calibri"/>
          <w:i w:val="1"/>
          <w:color w:val="00ff00"/>
          <w:rtl w:val="0"/>
        </w:rPr>
        <w:t xml:space="preserve">Teisingai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B">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1C">
      <w:pPr>
        <w:widowControl w:val="0"/>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5. Kurią ataskaitą reikėtų analizuoti, kai siekiama išanalizuoti duomenis apie bendrą studentų mokymosi pažangą ir jų atliktą veiklą?</w:t>
      </w:r>
    </w:p>
    <w:p w:rsidR="00000000" w:rsidDel="00000000" w:rsidP="00000000" w:rsidRDefault="00000000" w:rsidRPr="00000000" w14:paraId="0000001D">
      <w:pPr>
        <w:widowControl w:val="0"/>
        <w:numPr>
          <w:ilvl w:val="0"/>
          <w:numId w:val="4"/>
        </w:numPr>
        <w:spacing w:before="240" w:lineRule="auto"/>
        <w:ind w:left="720" w:hanging="360"/>
        <w:rPr>
          <w:rFonts w:ascii="Calibri" w:cs="Calibri" w:eastAsia="Calibri" w:hAnsi="Calibri"/>
          <w:b w:val="1"/>
        </w:rPr>
      </w:pPr>
      <w:r w:rsidDel="00000000" w:rsidR="00000000" w:rsidRPr="00000000">
        <w:rPr>
          <w:rFonts w:ascii="Calibri" w:cs="Calibri" w:eastAsia="Calibri" w:hAnsi="Calibri"/>
          <w:b w:val="1"/>
          <w:rtl w:val="0"/>
        </w:rPr>
        <w:t xml:space="preserve">Veiklos išbaigtumo ataskaita </w:t>
      </w:r>
      <w:r w:rsidDel="00000000" w:rsidR="00000000" w:rsidRPr="00000000">
        <w:rPr>
          <w:rFonts w:ascii="Calibri" w:cs="Calibri" w:eastAsia="Calibri" w:hAnsi="Calibri"/>
          <w:i w:val="1"/>
          <w:color w:val="00ff00"/>
          <w:rtl w:val="0"/>
        </w:rPr>
        <w:t xml:space="preserve">Teisingai!  Tai padeda dėstytojui stebėti ir vertinti, kaip atskiri studentai ar studentų grupės įsitraukia į atskiras temas, užduotis, taigi ir į visą dalyką.</w:t>
      </w:r>
      <w:r w:rsidDel="00000000" w:rsidR="00000000" w:rsidRPr="00000000">
        <w:rPr>
          <w:rtl w:val="0"/>
        </w:rPr>
      </w:r>
    </w:p>
    <w:p w:rsidR="00000000" w:rsidDel="00000000" w:rsidP="00000000" w:rsidRDefault="00000000" w:rsidRPr="00000000" w14:paraId="0000001E">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Prisijungimų ataskaita </w:t>
      </w:r>
      <w:r w:rsidDel="00000000" w:rsidR="00000000" w:rsidRPr="00000000">
        <w:rPr>
          <w:rFonts w:ascii="Calibri" w:cs="Calibri" w:eastAsia="Calibri" w:hAnsi="Calibri"/>
          <w:i w:val="1"/>
          <w:color w:val="ff0000"/>
          <w:rtl w:val="0"/>
        </w:rPr>
        <w:t xml:space="preserve">Neteisingai. Šioje ataskaitoje pateikiami duomenys apie tai, kokią veiklą ir kada lankė ir žiūrėjo besimokantieji.</w:t>
      </w:r>
      <w:r w:rsidDel="00000000" w:rsidR="00000000" w:rsidRPr="00000000">
        <w:rPr>
          <w:rtl w:val="0"/>
        </w:rPr>
      </w:r>
    </w:p>
    <w:p w:rsidR="00000000" w:rsidDel="00000000" w:rsidP="00000000" w:rsidRDefault="00000000" w:rsidRPr="00000000" w14:paraId="0000001F">
      <w:pPr>
        <w:widowControl w:val="0"/>
        <w:numPr>
          <w:ilvl w:val="0"/>
          <w:numId w:val="4"/>
        </w:numPr>
        <w:ind w:left="720" w:hanging="360"/>
        <w:rPr>
          <w:rFonts w:ascii="Calibri" w:cs="Calibri" w:eastAsia="Calibri" w:hAnsi="Calibri"/>
        </w:rPr>
      </w:pPr>
      <w:r w:rsidDel="00000000" w:rsidR="00000000" w:rsidRPr="00000000">
        <w:rPr>
          <w:rFonts w:ascii="Calibri" w:cs="Calibri" w:eastAsia="Calibri" w:hAnsi="Calibri"/>
          <w:rtl w:val="0"/>
        </w:rPr>
        <w:t xml:space="preserve">Turinio peržiūrų istorijos ataskaita </w:t>
      </w:r>
      <w:r w:rsidDel="00000000" w:rsidR="00000000" w:rsidRPr="00000000">
        <w:rPr>
          <w:rFonts w:ascii="Calibri" w:cs="Calibri" w:eastAsia="Calibri" w:hAnsi="Calibri"/>
          <w:i w:val="1"/>
          <w:color w:val="ff0000"/>
          <w:rtl w:val="0"/>
        </w:rPr>
        <w:t xml:space="preserve">Neteisingai. Šioje ataskaitoje pateikiama informacija apie tai, kurie studentai naudojosi tam tikrais mokymosi ištekliais arba vykdė tam tikrą dalyko veiklą. </w:t>
      </w:r>
      <w:r w:rsidDel="00000000" w:rsidR="00000000" w:rsidRPr="00000000">
        <w:rPr>
          <w:rtl w:val="0"/>
        </w:rPr>
      </w:r>
    </w:p>
    <w:p w:rsidR="00000000" w:rsidDel="00000000" w:rsidP="00000000" w:rsidRDefault="00000000" w:rsidRPr="00000000" w14:paraId="00000020">
      <w:pPr>
        <w:widowControl w:val="0"/>
        <w:numPr>
          <w:ilvl w:val="0"/>
          <w:numId w:val="4"/>
        </w:numPr>
        <w:spacing w:after="240" w:lineRule="auto"/>
        <w:ind w:left="720" w:hanging="360"/>
        <w:rPr>
          <w:rFonts w:ascii="Calibri" w:cs="Calibri" w:eastAsia="Calibri" w:hAnsi="Calibri"/>
        </w:rPr>
      </w:pPr>
      <w:r w:rsidDel="00000000" w:rsidR="00000000" w:rsidRPr="00000000">
        <w:rPr>
          <w:rFonts w:ascii="Calibri" w:cs="Calibri" w:eastAsia="Calibri" w:hAnsi="Calibri"/>
          <w:rtl w:val="0"/>
        </w:rPr>
        <w:t xml:space="preserve">Turinio statistikos ataskaita.</w:t>
      </w:r>
      <w:r w:rsidDel="00000000" w:rsidR="00000000" w:rsidRPr="00000000">
        <w:rPr>
          <w:rFonts w:ascii="Calibri" w:cs="Calibri" w:eastAsia="Calibri" w:hAnsi="Calibri"/>
          <w:i w:val="1"/>
          <w:color w:val="ff0000"/>
          <w:rtl w:val="0"/>
        </w:rPr>
        <w:t xml:space="preserve"> Neteisingai.  Ši ataskaita informuoja dėstytojus apie tai, kiek kartų buvo peržiūrėta kiekviena dalyko veikla.</w:t>
      </w:r>
      <w:r w:rsidDel="00000000" w:rsidR="00000000" w:rsidRPr="00000000">
        <w:rPr>
          <w:rtl w:val="0"/>
        </w:rPr>
      </w:r>
    </w:p>
    <w:p w:rsidR="00000000" w:rsidDel="00000000" w:rsidP="00000000" w:rsidRDefault="00000000" w:rsidRPr="00000000" w14:paraId="00000021">
      <w:pPr>
        <w:widowControl w:val="0"/>
        <w:ind w:left="720" w:firstLine="0"/>
        <w:rPr>
          <w:rFonts w:ascii="Calibri" w:cs="Calibri" w:eastAsia="Calibri" w:hAnsi="Calibri"/>
          <w:i w:val="1"/>
          <w:color w:val="00ff00"/>
        </w:rPr>
      </w:pPr>
      <w:r w:rsidDel="00000000" w:rsidR="00000000" w:rsidRPr="00000000">
        <w:rPr>
          <w:rtl w:val="0"/>
        </w:rPr>
      </w:r>
    </w:p>
    <w:p w:rsidR="00000000" w:rsidDel="00000000" w:rsidP="00000000" w:rsidRDefault="00000000" w:rsidRPr="00000000" w14:paraId="00000022">
      <w:pPr>
        <w:spacing w:line="276" w:lineRule="auto"/>
        <w:rPr>
          <w:rFonts w:ascii="Calibri" w:cs="Calibri" w:eastAsia="Calibri" w:hAnsi="Calibri"/>
          <w:b w:val="1"/>
          <w:sz w:val="30"/>
          <w:szCs w:val="30"/>
        </w:rPr>
      </w:pPr>
      <w:r w:rsidDel="00000000" w:rsidR="00000000" w:rsidRPr="00000000">
        <w:rPr>
          <w:rtl w:val="0"/>
        </w:rPr>
      </w:r>
    </w:p>
    <w:p w:rsidR="00000000" w:rsidDel="00000000" w:rsidP="00000000" w:rsidRDefault="00000000" w:rsidRPr="00000000" w14:paraId="00000023">
      <w:pPr>
        <w:spacing w:line="276" w:lineRule="auto"/>
        <w:rPr>
          <w:rFonts w:ascii="Calibri" w:cs="Calibri" w:eastAsia="Calibri" w:hAnsi="Calibri"/>
          <w:b w:val="1"/>
          <w:sz w:val="30"/>
          <w:szCs w:val="30"/>
        </w:rPr>
      </w:pPr>
      <w:r w:rsidDel="00000000" w:rsidR="00000000" w:rsidRPr="00000000">
        <w:rPr>
          <w:rFonts w:ascii="Calibri" w:cs="Calibri" w:eastAsia="Calibri" w:hAnsi="Calibri"/>
          <w:b w:val="1"/>
          <w:sz w:val="30"/>
          <w:szCs w:val="30"/>
          <w:rtl w:val="0"/>
        </w:rPr>
        <w:t xml:space="preserve">Klausimai savirefleksijai:</w:t>
      </w:r>
    </w:p>
    <w:p w:rsidR="00000000" w:rsidDel="00000000" w:rsidP="00000000" w:rsidRDefault="00000000" w:rsidRPr="00000000" w14:paraId="00000024">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Kokios ataskaitos gali informuoti dėstytojus ir studentus apie mokymosi pažangą?</w:t>
      </w:r>
    </w:p>
    <w:p w:rsidR="00000000" w:rsidDel="00000000" w:rsidP="00000000" w:rsidRDefault="00000000" w:rsidRPr="00000000" w14:paraId="00000025">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Kokius esamus kokybinius ir kiekybinius duomenis galima panaudoti siekiant įtraukti studentus?</w:t>
      </w:r>
    </w:p>
    <w:p w:rsidR="00000000" w:rsidDel="00000000" w:rsidP="00000000" w:rsidRDefault="00000000" w:rsidRPr="00000000" w14:paraId="00000026">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Kokius duomenis galima stebėti ir analizuoti, kad būtų galima įvertinti studentų akademinę sėkmę?</w:t>
      </w:r>
    </w:p>
    <w:p w:rsidR="00000000" w:rsidDel="00000000" w:rsidP="00000000" w:rsidRDefault="00000000" w:rsidRPr="00000000" w14:paraId="00000027">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Kokias pedagogines intervencijas planuotumėte tuo atveju, jei studentai neperžiūrėtų ir nesinaudotų privalomais mokymosi ištekliais?</w:t>
      </w:r>
    </w:p>
    <w:p w:rsidR="00000000" w:rsidDel="00000000" w:rsidP="00000000" w:rsidRDefault="00000000" w:rsidRPr="00000000" w14:paraId="00000028">
      <w:pPr>
        <w:numPr>
          <w:ilvl w:val="0"/>
          <w:numId w:val="2"/>
        </w:numPr>
        <w:ind w:left="720" w:hanging="360"/>
        <w:jc w:val="both"/>
        <w:rPr>
          <w:rFonts w:ascii="Calibri" w:cs="Calibri" w:eastAsia="Calibri" w:hAnsi="Calibri"/>
          <w:highlight w:val="white"/>
        </w:rPr>
      </w:pPr>
      <w:r w:rsidDel="00000000" w:rsidR="00000000" w:rsidRPr="00000000">
        <w:rPr>
          <w:rFonts w:ascii="Calibri" w:cs="Calibri" w:eastAsia="Calibri" w:hAnsi="Calibri"/>
          <w:highlight w:val="white"/>
          <w:rtl w:val="0"/>
        </w:rPr>
        <w:t xml:space="preserve">Ką darytumėte, jei dauguma studentų neįsitrauktų į dalyke suplanuotas veiklas?</w:t>
      </w:r>
      <w:r w:rsidDel="00000000" w:rsidR="00000000" w:rsidRPr="00000000">
        <w:rPr>
          <w:rtl w:val="0"/>
        </w:rPr>
      </w:r>
    </w:p>
    <w:sectPr>
      <w:headerReference r:id="rId7" w:type="default"/>
      <w:footerReference r:id="rId8" w:type="default"/>
      <w:footerReference r:id="rId9"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0">
    <w:pPr>
      <w:rPr/>
    </w:pPr>
    <w:r w:rsidDel="00000000" w:rsidR="00000000" w:rsidRPr="00000000">
      <w:rPr/>
      <w:drawing>
        <wp:inline distB="114300" distT="114300" distL="114300" distR="114300">
          <wp:extent cx="1063113" cy="190500"/>
          <wp:effectExtent b="0" l="0" r="0" t="0"/>
          <wp:docPr id="3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rtl w:val="0"/>
      </w:rPr>
      <w:t xml:space="preserve">Mokomoji medžiaga "Besimokančiųjų stebėsena, parama ir įtrauktis </w:t>
    </w:r>
    <w:hyperlink r:id="rId2">
      <w:r w:rsidDel="00000000" w:rsidR="00000000" w:rsidRPr="00000000">
        <w:rPr>
          <w:color w:val="8b1a4a"/>
          <w:rtl w:val="0"/>
        </w:rPr>
        <w:t xml:space="preserve">mokymosi duomenų analizė</w:t>
      </w:r>
    </w:hyperlink>
    <w:r w:rsidDel="00000000" w:rsidR="00000000" w:rsidRPr="00000000">
      <w:rPr>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tl w:val="0"/>
      </w:rPr>
    </w:r>
  </w:p>
  <w:p w:rsidR="00000000" w:rsidDel="00000000" w:rsidP="00000000" w:rsidRDefault="00000000" w:rsidRPr="00000000" w14:paraId="00000032">
    <w:pPr>
      <w:jc w:val="center"/>
      <w:rPr>
        <w:rFonts w:ascii="Calibri" w:cs="Calibri" w:eastAsia="Calibri" w:hAnsi="Calibri"/>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28584</wp:posOffset>
          </wp:positionV>
          <wp:extent cx="2033588" cy="430182"/>
          <wp:effectExtent b="0" l="0" r="0" t="0"/>
          <wp:wrapNone/>
          <wp:docPr id="3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7</wp:posOffset>
          </wp:positionH>
          <wp:positionV relativeFrom="paragraph">
            <wp:posOffset>28581</wp:posOffset>
          </wp:positionV>
          <wp:extent cx="1446609" cy="428625"/>
          <wp:effectExtent b="0" l="0" r="0" t="0"/>
          <wp:wrapNone/>
          <wp:docPr id="34"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2A">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2B">
    <w:pPr>
      <w:rPr>
        <w:i w:val="1"/>
        <w:sz w:val="20"/>
        <w:szCs w:val="20"/>
      </w:rPr>
    </w:pPr>
    <w:r w:rsidDel="00000000" w:rsidR="00000000" w:rsidRPr="00000000">
      <w:rPr>
        <w:rtl w:val="0"/>
      </w:rPr>
    </w:r>
  </w:p>
  <w:p w:rsidR="00000000" w:rsidDel="00000000" w:rsidP="00000000" w:rsidRDefault="00000000" w:rsidRPr="00000000" w14:paraId="0000002C">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D">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4"/>
    <w:tblPr>
      <w:tblStyleRowBandSize w:val="1"/>
      <w:tblStyleColBandSize w:val="1"/>
      <w:tblCellMar>
        <w:top w:w="100.0" w:type="dxa"/>
        <w:left w:w="100.0" w:type="dxa"/>
        <w:bottom w:w="100.0" w:type="dxa"/>
        <w:right w:w="100.0" w:type="dxa"/>
      </w:tblCellMar>
    </w:tblPr>
  </w:style>
  <w:style w:type="table" w:styleId="a0" w:customStyle="1">
    <w:basedOn w:val="TableNormal4"/>
    <w:tblPr>
      <w:tblStyleRowBandSize w:val="1"/>
      <w:tblStyleColBandSize w:val="1"/>
      <w:tblCellMar>
        <w:top w:w="100.0" w:type="dxa"/>
        <w:left w:w="100.0" w:type="dxa"/>
        <w:bottom w:w="100.0" w:type="dxa"/>
        <w:right w:w="100.0" w:type="dxa"/>
      </w:tblCellMar>
    </w:tblPr>
  </w:style>
  <w:style w:type="table" w:styleId="a1" w:customStyle="1">
    <w:basedOn w:val="TableNormal4"/>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PfXwqt9n6P+j0xdPIAqVD7VhbQ==">CgMxLjAyDmguaXQwdTg1bnQ5b2poOAByITF3ekREekhpOGNQN0lNRXRIczVrQTBGVlY1aHYyTlJrdA==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