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Įrodymais pagrįstų mokymo ir mokymosi strategijų, skatinančių savivaldų mokymąsi virtualioje mokymosi aplinkoje, kūrimas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.  </w:t>
      </w:r>
    </w:p>
    <w:p w:rsidR="00000000" w:rsidDel="00000000" w:rsidP="00000000" w:rsidRDefault="00000000" w:rsidRPr="00000000" w14:paraId="00000002">
      <w:pPr>
        <w:ind w:left="0" w:firstLine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Testas</w:t>
      </w:r>
    </w:p>
    <w:p w:rsidR="00000000" w:rsidDel="00000000" w:rsidP="00000000" w:rsidRDefault="00000000" w:rsidRPr="00000000" w14:paraId="00000004">
      <w:pPr>
        <w:ind w:left="0" w:firstLine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 Kurie iš šių teiginių apie VMA yra teisingi? Pasirinkite visus, kurie tinka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VMA palengvina įvairias interaktyvias metapažinimo ir savo mokymosi apmąstymo galimybes (pvz., besimokančiųjų portfeliai)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VMA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palengvina grįžtamojo ryšio teikimą per forumus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VMA siūlo įvairius techninius sprendimus, taip pat priemones, palengvinančias bendravimą ir bendradarbiavimą (pvz., pokalbius, vikius, Padlet)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VMA apsunkina dėstytojams paskaitų ir mokymo proceso planavimą ir kūrimą, besimokančiųjų pasiekimų ir studijų dalyko/programos efektyvumą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Neteisingai.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Calibri" w:cs="Calibri" w:eastAsia="Calibri" w:hAnsi="Calibri"/>
          <w:i w:val="1"/>
          <w:color w:val="00ff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Tyrimai patvirtina, kad naudojant VMA, yra lengviau įvertinti mokymosi planavimo efektyvumą, valdyti administracinį darbo krūvį ir kartu stebėti bei analizuoti besimokančiųjų pasiekimus ir įsitraukimo lygį. 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 Į kokius veiksmus dėstytojas turėtų atsižvelgti planuodamas studijų dalyko struktūrą? (Galima pasirinkti daugiau nei vieną atsakymą)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Išsiaiškinti, kurie ištekliai yra neprivalomi, o kurie privalomi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Įsitikinti, kad kurso struktūra yra nuosekli ir aiški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Nenurodyti studentams mokymosi eigos Moodle sistemoje, kad studijų dalykas būtų kuo sudėtingesnis </w:t>
      </w:r>
      <w:r w:rsidDel="00000000" w:rsidR="00000000" w:rsidRPr="00000000">
        <w:rPr>
          <w:rFonts w:ascii="Calibri" w:cs="Calibri" w:eastAsia="Calibri" w:hAnsi="Calibri"/>
          <w:color w:val="ff0000"/>
          <w:highlight w:val="white"/>
          <w:rtl w:val="0"/>
        </w:rPr>
        <w:t xml:space="preserve">Neteisingai! Mokymosi procesas turėtų būti parodytas nuo pat pradžių (pvz. studijavimo vadove)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Paaiškinti sėkmingo kurso baigimo kriterijus ir reikalavimus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3. Kuriomis iš toliau išvardytų priemonių dėstytojai gali įtraukti besimokančiuosius ir gauti įrodymų apie jų įsitraukimą?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Grįžtamojo ryšio apklausos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Neteisingai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Atviri klausimai forume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Neteisingai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Tarpusavio vertinimo veikla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Neteisingai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Visi išvardinti variantai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color w:val="00ff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Moodle Testo veikla gali būti naudojama tiek apibendrinamajame, tiek formuojamajame vertinime.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Tiesa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Netiesa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Neteisingai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Kokios dalyko veiklos sąlygos gali padėti palaikyti studentų savivaldų mokymąsi? Pasirinkite visus tinkamus variantus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Prieinamumas (veiklos atlikimo terminai).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 Teisingai! Atlikę prieinamumo nustatymus studentai gaus priminimus apie atsiskaitymo datas.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Veiklos užbaigimas.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 Nustačius svarbiausių mokymosi veiklų užbaigimo stebėjimą, studentai galės stebėti savo mokymosi pažangą naudodamiesi užbaigimo juosta ir taip atitinkamai planuoti savo mokymąsi.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Rinkmenos pateikimo tipas.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Neteisingai. Pateikimo tipo nustatymai susiję su dokumentų, kuriuos galima įkelti kaip besimokančiųjų pateiktus dokumentus, skaičiumi ir tipu. Šie nustatymai nepalaiko savivaldaus mokymosi.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Grįžtamojo ryšio tipas.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 Turėdami galimybę pateikti ir gauti grįžtamąjį ryšį apie konkrečią užduotį, studentai gali apmąstyti savo mokymąsi ir permąstyti mokymosi strategijas.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Pasirinkite mokymosi strategiją, kuri nepalaiko savivaldaus mokymosi.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Pristatomas studijavimo vadovas, kuriame nurodomos visos temos, terminai ir lūkesčiai.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Neteisingai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Neatsižvelgiama į besimokančiųjų ankstesnę patirtį ir žinias, o dėmesys sutelkiamas į kurso turinį, kuris parengtas prieš semestrą.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Teisingai! Svarbu pažinti savo besimokančiuosius ir parengti studijų dalyką, kuris būtų įtraukiantis, atliepiantis jau turimas besimokančiųjų žinias.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Sukurti savęs vertinimo veiklą, kad besimokantieji galėtų apmąstyti, ką jie jau žino ir ką dar turi išmokti, kad sėkmingai dalyvautų paskaitose ar atliktų užduotį.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Neteisingai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Grįžtamojo ryšio veiklos planavimas, kai besimokančiųjų prašoma pasidalinti mintimis apie studijų dalyko išteklių naudingumą.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Neteisingai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Klausimai savirefleksijai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before="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Kokią mokymosi veiklą sukurtumėte, kad skatintumėte studentus pasidalinti temos ir (arba) sąvokos supratimo lygiu?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before="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Kokia mokymosi veikla gali padėti sužinoti apie studentų ankstesnę patirtį, kuria remdamiesi galėtumėte adaptuoti mokymosi turinį?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before="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Kokius veiklos nustatymus reikia sukonfigūruoti, kad būtų gaunami duomenys apie studentų įsitraukimą ir mokymosi dizainą?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before="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Kokias veiklas galima sukurti taip, kad būtų skatinama mokinių savirefleksija apie mokymosi procesą? Kokios priemonės gali padėti vykdyti šią veiklą?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before="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Kokią veiklą planuotumėte, kad galėtumėte rinkti informaciją apie tai, kaip tobulinti kurso dizainą</w:t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color w:val="1d2125"/>
        <w:sz w:val="20"/>
        <w:szCs w:val="20"/>
        <w:highlight w:val="white"/>
      </w:rPr>
      <w:drawing>
        <wp:inline distB="114300" distT="114300" distL="114300" distR="114300">
          <wp:extent cx="1063113" cy="190500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1d2125"/>
        <w:sz w:val="20"/>
        <w:szCs w:val="20"/>
        <w:highlight w:val="white"/>
        <w:rtl w:val="0"/>
      </w:rPr>
      <w:t xml:space="preserve">Objektui </w:t>
    </w:r>
    <w:r w:rsidDel="00000000" w:rsidR="00000000" w:rsidRPr="00000000">
      <w:rPr>
        <w:sz w:val="20"/>
        <w:szCs w:val="20"/>
        <w:rtl w:val="0"/>
      </w:rPr>
      <w:t xml:space="preserve">Mokomoji medžiaga "Besimokančiųjų stebėsena, parama ir įtrauktis </w:t>
    </w:r>
    <w:hyperlink r:id="rId2">
      <w:r w:rsidDel="00000000" w:rsidR="00000000" w:rsidRPr="00000000">
        <w:rPr>
          <w:color w:val="8b1a4a"/>
          <w:sz w:val="20"/>
          <w:szCs w:val="20"/>
          <w:rtl w:val="0"/>
        </w:rPr>
        <w:t xml:space="preserve">mokymosi duomenų analizė</w:t>
      </w:r>
    </w:hyperlink>
    <w:r w:rsidDel="00000000" w:rsidR="00000000" w:rsidRPr="00000000">
      <w:rPr>
        <w:sz w:val="20"/>
        <w:szCs w:val="20"/>
        <w:rtl w:val="0"/>
      </w:rPr>
      <w:t xml:space="preserve">s pagrindu", kurį sukūrė </w:t>
    </w:r>
    <w:hyperlink r:id="rId3">
      <w:r w:rsidDel="00000000" w:rsidR="00000000" w:rsidRPr="00000000">
        <w:rPr>
          <w:color w:val="8b1a4a"/>
          <w:sz w:val="20"/>
          <w:szCs w:val="20"/>
          <w:highlight w:val="whit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color w:val="1d2125"/>
        <w:sz w:val="20"/>
        <w:szCs w:val="20"/>
        <w:highlight w:val="white"/>
        <w:rtl w:val="0"/>
      </w:rPr>
      <w:t xml:space="preserve">, yra suteikta </w:t>
    </w:r>
    <w:hyperlink r:id="rId4">
      <w:r w:rsidDel="00000000" w:rsidR="00000000" w:rsidRPr="00000000">
        <w:rPr>
          <w:color w:val="8b1a4a"/>
          <w:sz w:val="20"/>
          <w:szCs w:val="20"/>
          <w:highlight w:val="white"/>
          <w:rtl w:val="0"/>
        </w:rPr>
        <w:t xml:space="preserve">Creative Commons Priskyrimas - Analogiškas platinimas 4.0 Tarptautinė licencija</w:t>
      </w:r>
    </w:hyperlink>
    <w:r w:rsidDel="00000000" w:rsidR="00000000" w:rsidRPr="00000000">
      <w:rPr>
        <w:color w:val="1d2125"/>
        <w:sz w:val="20"/>
        <w:szCs w:val="20"/>
        <w:highlight w:val="white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>
        <w:i w:val="1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28583</wp:posOffset>
          </wp:positionV>
          <wp:extent cx="2033588" cy="430182"/>
          <wp:effectExtent b="0" l="0" r="0" t="0"/>
          <wp:wrapNone/>
          <wp:docPr id="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28580</wp:posOffset>
          </wp:positionV>
          <wp:extent cx="1446609" cy="428625"/>
          <wp:effectExtent b="0" l="0" r="0" t="0"/>
          <wp:wrapNone/>
          <wp:docPr id="3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2F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" w:cs="Noto Sans" w:eastAsia="Noto Sans" w:hAnsi="Noto San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21E87"/>
  </w:style>
  <w:style w:type="paragraph" w:styleId="Piedepgina">
    <w:name w:val="footer"/>
    <w:basedOn w:val="Normal"/>
    <w:link w:val="PiedepginaC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21E87"/>
  </w:style>
  <w:style w:type="paragraph" w:styleId="Prrafodelista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420F85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420F85"/>
  </w:style>
  <w:style w:type="character" w:styleId="ref-lnk" w:customStyle="1">
    <w:name w:val="ref-lnk"/>
    <w:basedOn w:val="Fuentedeprrafopredeter"/>
    <w:rsid w:val="00721C9E"/>
  </w:style>
  <w:style w:type="character" w:styleId="singlehighlightclass" w:customStyle="1">
    <w:name w:val="single_highlight_class"/>
    <w:basedOn w:val="Fuentedeprrafopredeter"/>
    <w:rsid w:val="00721C9E"/>
  </w:style>
  <w:style w:type="character" w:styleId="searchnone" w:customStyle="1">
    <w:name w:val="searchnone"/>
    <w:basedOn w:val="Fuentedeprrafopredeter"/>
    <w:rsid w:val="0039043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mod/glossary/showentry.php?eid=52&amp;displayformat=dictionary" TargetMode="External"/><Relationship Id="rId3" Type="http://schemas.openxmlformats.org/officeDocument/2006/relationships/hyperlink" Target="https://teacamp.vdu.lt/course/view.php?id=96" TargetMode="External"/><Relationship Id="rId4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0GIcN+C1xzB46Yygomh6pvG/w==">CgMxLjA4AHIhMXRoZ2U2dGN1MEl1SUJNZzJPS3NJejhwZ0xvSE9xdEpj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2022-06-22T11:22:00Z</dcterms:created>
</cp:coreProperties>
</file>