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heading=h.ecuqsq1vmt45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Unidade 3.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Apoiar e envolver os alunos através de dados baseados em provas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. (FASE DE AUTO-REFLEXÃO)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color w:val="000000"/>
          <w:sz w:val="40"/>
          <w:szCs w:val="40"/>
        </w:rPr>
      </w:pPr>
      <w:bookmarkStart w:colFirst="0" w:colLast="0" w:name="_heading=h.7v8ep3qzm4yy" w:id="1"/>
      <w:bookmarkEnd w:id="1"/>
      <w:r w:rsidDel="00000000" w:rsidR="00000000" w:rsidRPr="00000000">
        <w:rPr>
          <w:color w:val="000000"/>
          <w:sz w:val="40"/>
          <w:szCs w:val="40"/>
          <w:rtl w:val="0"/>
        </w:rPr>
        <w:t xml:space="preserve">INTRODUÇÃO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-914395</wp:posOffset>
            </wp:positionH>
            <wp:positionV relativeFrom="paragraph">
              <wp:posOffset>464892</wp:posOffset>
            </wp:positionV>
            <wp:extent cx="7739063" cy="3343275"/>
            <wp:effectExtent b="0" l="0" r="0" t="0"/>
            <wp:wrapSquare wrapText="bothSides" distB="114300" distT="114300" distL="114300" distR="114300"/>
            <wp:docPr id="5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3343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envolvimento dos estudantes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 promovido através da aprendizagem ativa tanto em ambientes offline como online. Isto significa que os estudantes são ativamente envolvidos nas tarefas atribuídas, colaboram com os seus pares e submetem as tarefas a tempo. As estratégias de concepção de aprendizagem para fomentar o envolvimento dos alunos incluem, mas não se limitam a sessões de perguntas e respostas, análise 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pares, discussão, perguntas rápidas, palestras interativas (nas quais os alunos respondem ou colocam questões), tarefas de escrita, atividades práticas e aprendizagem experimental. 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conceber uma Unidade Curricular (UC), é importante definir estratégias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apoio aos estudantes.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exemplo, os estudantes devem receber feedback sobre o seu progresso de aprendizagem, ter a possibilidade de colocar questões em fóruns de discussão e ser introduzidos na estrutura geral da UC/curso. A estrutura da UC deve mostrar claramente os recursos e atividades de aprendizagem previstas, para que os alunos possam monitorizar o seu progresso. Além disso, quando os estudantes são solicitados a dar feedback sobre determinados tópicos, material de aprendizagem, tarefas, ou sobre a UC em geral, estas informações devem ser vistas como valiosas, não só no sentido da promoção de melhorarias, mas também ao nível do empenho dos estudantes. 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Assim, os professores são encorajados a conceber e integrar atividades em diferentes momentos da UC, de modo a poderem recolher dados sobre o envolvimento dos seus alunos (ver unidade 2). E, de acordo com os dados recolhidos, refletir sobre a razão pela qual os estudantes preferem um determinado recurso ou atividade de aprendizagem, em detrimento de outros. Como pode esta informação informar o ensino e a aprendizagem? Que tipo de intervenções poderá ser necessário realizar para prestar apoio à aprendizagem e aumentar o envolvimento dos alunos?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 Quadro DigCompEdu (Redecker, 2017), envolver ativamente os aprendentes implica: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befor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tecnologias digitais para fomentar o envolvimento ativo e criativo dos estudantes com um determinado tema;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tecnologias digitais no âmbito de estratégias pedagógicas que fomentem as competências transversais dos estudantes, o pensamento profundo e a expressão criativa.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Abrir a aprendizagem a contextos novos e reais, que envolvam os próprios aprendentes em atividades práticas, investigação científica ou resolução de problemas complexos (ou a outras formas que promovam o envolvimento ativo dos aprendentes em matérias complexas).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Embora existam diferentes tipos de apoio que são importantes para os estudantes, este material de formação centra-se nos elementos que o professor pode pré-definir e integrar na UC, tendo em conta as VLE, a análise da aprendizagem e a importância para os alunos de melhorar as suas competências SRL. </w:t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color w:val="000000"/>
          <w:sz w:val="32"/>
          <w:szCs w:val="32"/>
        </w:rPr>
      </w:pPr>
      <w:bookmarkStart w:colFirst="0" w:colLast="0" w:name="_heading=h.o3tb5jpbpju7" w:id="2"/>
      <w:bookmarkEnd w:id="2"/>
      <w:r w:rsidDel="00000000" w:rsidR="00000000" w:rsidRPr="00000000">
        <w:rPr>
          <w:color w:val="000000"/>
          <w:sz w:val="32"/>
          <w:szCs w:val="32"/>
          <w:rtl w:val="0"/>
        </w:rPr>
        <w:t xml:space="preserve">Tópicos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Como promover o envolvimento dos estudantes?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3.2. Como aumentar o envolvimento dos estudantes através 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dashboards (painéis de controlo)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personalizáveis?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360" w:line="360" w:lineRule="auto"/>
        <w:jc w:val="both"/>
        <w:rPr>
          <w:color w:val="000000"/>
          <w:sz w:val="32"/>
          <w:szCs w:val="32"/>
        </w:rPr>
      </w:pPr>
      <w:bookmarkStart w:colFirst="0" w:colLast="0" w:name="_heading=h.oxnzv6t7xfpf" w:id="3"/>
      <w:bookmarkEnd w:id="3"/>
      <w:r w:rsidDel="00000000" w:rsidR="00000000" w:rsidRPr="00000000">
        <w:rPr>
          <w:color w:val="000000"/>
          <w:sz w:val="32"/>
          <w:szCs w:val="32"/>
          <w:rtl w:val="0"/>
        </w:rPr>
        <w:t xml:space="preserve">Resultados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as tecnologias digitais para visualizar e explicar novos conceitos de uma forma motivadora e envolvente, com recurso, por exemplo, a animações ou vídeos.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ambientes ou atividades de aprendizagem digital que sejam motivantes e envolventes, como, por exemplo, jogos 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quizzes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Colocar a utilização de tecnologias digitais pelos estudantes no centro do processo instrucional.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tecnologias digitais para permitir que os alunos se envolvam ativamente com o assunto em questão, recorrendo, por exemplo, a diferentes sentidos, à manipulação de objetos virtuais, variando os problemas/questões apresentadas;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Selecionar tecnologias digitais que promovam aprendizagens ativas num determinado contexto de aprendizagem ou orientadas para objetivos de aprendizagem específicos.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Refletir sobre a adequação das diferentes tecnologias digitais utilizadas para aumentar a aprendizagem ativa dos aprendentes e adaptar  as estratégias adotadas em conformidade.</w:t>
      </w:r>
    </w:p>
    <w:p w:rsidR="00000000" w:rsidDel="00000000" w:rsidP="00000000" w:rsidRDefault="00000000" w:rsidRPr="00000000" w14:paraId="0000001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sz w:val="32"/>
          <w:szCs w:val="32"/>
        </w:rPr>
      </w:pPr>
      <w:bookmarkStart w:colFirst="0" w:colLast="0" w:name="_heading=h.5z3s10addjr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76" w:lineRule="auto"/>
        <w:jc w:val="both"/>
        <w:rPr>
          <w:color w:val="000000"/>
          <w:sz w:val="32"/>
          <w:szCs w:val="32"/>
        </w:rPr>
      </w:pPr>
      <w:bookmarkStart w:colFirst="0" w:colLast="0" w:name="_heading=h.z7cziyh48jpm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Definições (Glossário Moodle)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 </w:t>
      </w:r>
      <w:hyperlink r:id="rId8">
        <w:r w:rsidDel="00000000" w:rsidR="00000000" w:rsidRPr="00000000">
          <w:rPr>
            <w:rFonts w:ascii="Calibri" w:cs="Calibri" w:eastAsia="Calibri" w:hAnsi="Calibri"/>
            <w:color w:val="0b5394"/>
            <w:rtl w:val="0"/>
          </w:rPr>
          <w:t xml:space="preserve">Glossário da Reforma Educativa</w:t>
        </w:r>
      </w:hyperlink>
      <w:r w:rsidDel="00000000" w:rsidR="00000000" w:rsidRPr="00000000">
        <w:rPr>
          <w:rFonts w:ascii="Calibri" w:cs="Calibri" w:eastAsia="Calibri" w:hAnsi="Calibri"/>
          <w:color w:val="0b5394"/>
          <w:rtl w:val="0"/>
        </w:rPr>
        <w:t xml:space="preserve"> (The Glossary of Education Reform)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envolvimento dos alunos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pode definir-se como “o grau de atenção, curiosidade, interesse, optimismo e paixão que os alunos demonstram quando aprendem ou são ensinados, o que se estende ao nível de motivação que têm para aprender e progredir na sua educação". Esta definição não diz respeito apenas aos estudantes, mas também aos líderes escolares, educadores e quaisquer outros fatores externos que possam "envolver" os aprendentes na concepção e no processo de tomada de decisões sobre a sua aprendizagem. O envolvimento dos alunos compreende a relação entre o tempo e o esforço investido na optimização da experiência de aprendizagem. Este envolvimento manifesta-se em comportamentos, processos de pensamento e emoções. Por outras palavras, o envolvimento é visto como uma dimensão comportamental, cognitiva e emocional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Painel de Análise de Aprendizagem (LAD):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 painéis de análise de aprendizagem são um subconjunto importante de análise de aprendizagem e referem-se à representação visual dos dados gerados automaticamente pelo sistema. Os LAD são ferramentas de visualização de dados que exibem e representam a informação de uma forma fácil de utilizar e que fornecem "perspectivas significativas e acionáveis num relance" (Pokhrel &amp; Awasthi, 2021:93).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Envolvimento social: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conhecimento específico (técnico) e capacidades de pensamento de ordem superior, motivação, sentido de pertença e bem-estar, a promoção de melhores relações através da aprendizagem e colaboração entre pares.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color w:val="000000"/>
          <w:sz w:val="32"/>
          <w:szCs w:val="32"/>
        </w:rPr>
      </w:pPr>
      <w:bookmarkStart w:colFirst="0" w:colLast="0" w:name="_heading=h.3ytnumcjw5jb" w:id="6"/>
      <w:bookmarkEnd w:id="6"/>
      <w:r w:rsidDel="00000000" w:rsidR="00000000" w:rsidRPr="00000000">
        <w:rPr>
          <w:color w:val="000000"/>
          <w:sz w:val="32"/>
          <w:szCs w:val="32"/>
          <w:rtl w:val="0"/>
        </w:rPr>
        <w:t xml:space="preserve">ESTRATÉGIAS E RECOMENDAÇÕES SOBRE COMO APOIAR E ENVOLVER OS ALUNOS</w:t>
      </w:r>
    </w:p>
    <w:p w:rsidR="00000000" w:rsidDel="00000000" w:rsidP="00000000" w:rsidRDefault="00000000" w:rsidRPr="00000000" w14:paraId="00000020">
      <w:pPr>
        <w:spacing w:after="240" w:before="240" w:lineRule="auto"/>
        <w:ind w:left="10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Ponto de vista pedagógico: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Definir as expectativas de envolvimento dos alunos no início do curso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Assegurar que os recursos e atividades de aprendizagem são apresentados de uma forma clara e estruturada e que os estudantes os possam encontrar facilmente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Rever a estrutura do curso na plataforma utilizada de forma a ser possível acompanhar o percurso de aprendizagem dos estudantes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Encorajar a interação em tempo real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Fornecer o número adequado materiais/recursos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Sempre que possível, incluir uma breve descrição sobre os recursos e atividades;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imediato sobre tarefas e/ou progresso de aprendizagem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Pedir feedback aos alunos relativamente aos recursos, atividades ou ao funcionamento da UC para assegurar a tomada de decisão atempada e potenciais alterações;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Assegurar a presença/envolvimento de um professor;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Decidir que dados relacionados com o envolvimento dos alunos são importantes e passíveis de analisar;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Analisar dados sobre o processo de ensino e aprendizagem e tomar decisões informadas sobre as mudanças a implementar.</w:t>
      </w:r>
    </w:p>
    <w:p w:rsidR="00000000" w:rsidDel="00000000" w:rsidP="00000000" w:rsidRDefault="00000000" w:rsidRPr="00000000" w14:paraId="0000002C">
      <w:pPr>
        <w:spacing w:after="240" w:before="240" w:lineRule="auto"/>
        <w:ind w:left="10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Ponto de vista técnico: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befor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dashboards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personalizáveis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Associar atividades de aprendizagem a resultados de aprendizagem de forma a que os estudantes monitorizem os seus progressos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perguntas abertas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Favorecer a utilização de fóruns de discussão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Explorar as possibilidades do VLE relacionadas com o SRL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VÍDEO - </w:t>
      </w:r>
      <w:r w:rsidDel="00000000" w:rsidR="00000000" w:rsidRPr="00000000">
        <w:rPr>
          <w:rFonts w:ascii="Calibri" w:cs="Calibri" w:eastAsia="Calibri" w:hAnsi="Calibri"/>
          <w:b w:val="1"/>
          <w:color w:val="548dd4"/>
          <w:rtl w:val="0"/>
        </w:rPr>
        <w:t xml:space="preserve">Envolver os alunos em VLE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(opcional) </w:t>
      </w:r>
    </w:p>
    <w:p w:rsidR="00000000" w:rsidDel="00000000" w:rsidP="00000000" w:rsidRDefault="00000000" w:rsidRPr="00000000" w14:paraId="00000034">
      <w:pPr>
        <w:widowControl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Betts, S.; Simons, S.; Liogier, V. (2020). Envolvimento dos alunos em VLES. 25 de Março, 2020, ETFOUNDATION.CO.UK/EDTECH). (YouTube) Webinar online.</w:t>
      </w:r>
    </w:p>
    <w:p w:rsidR="00000000" w:rsidDel="00000000" w:rsidP="00000000" w:rsidRDefault="00000000" w:rsidRPr="00000000" w14:paraId="00000036">
      <w:pPr>
        <w:widowControl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Webinar de 1-h , cujo principal objetivo é apoiar os profissionais na utilização de ferramentas VLE para envolver os alunos online. O webinar introduz as ferramentas e as abordagens pedagógicas para motivar os aprendentes, abordando questões relacionadas com os conceitos de Enhanced Digital Teaching e dos módulos de apoio, tratando também do processo de “badges” e de submissões. Alguns destes tópicos não são abordados nestes materiais. Contudo, este webinar opcional, tratando-se de uma boa forma de aumentar conhecimentos sobre o envolvimento online e a utilização de VLE.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b w:val="1"/>
          <w:color w:val="548dd4"/>
          <w:sz w:val="40"/>
          <w:szCs w:val="40"/>
        </w:rPr>
      </w:pPr>
      <w:bookmarkStart w:colFirst="0" w:colLast="0" w:name="_heading=h.365xj3v171nf" w:id="7"/>
      <w:bookmarkEnd w:id="7"/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https://www.youtube.com/watch?v=CJ8qBKC5QP4&amp;t=1s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rFonts w:ascii="Calibri" w:cs="Calibri" w:eastAsia="Calibri" w:hAnsi="Calibri"/>
        </w:rPr>
      </w:pPr>
      <w:bookmarkStart w:colFirst="0" w:colLast="0" w:name="_heading=h.r7u8nafcelru" w:id="8"/>
      <w:bookmarkEnd w:id="8"/>
      <w:r w:rsidDel="00000000" w:rsidR="00000000" w:rsidRPr="00000000">
        <w:rPr>
          <w:color w:val="000000"/>
          <w:sz w:val="28"/>
          <w:szCs w:val="28"/>
          <w:rtl w:val="0"/>
        </w:rPr>
        <w:t xml:space="preserve">MATERIAIS PARA LEITURA POSTERIOR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Halverson, L. R., &amp; Graham, C. R. (2019). Learner Engagement in Blended Learning Environments: A Conceptual Framework.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Online Learning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23, 145-178.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https://doi.org/10.24059/olj.v23i2.1481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Herodotou, C.; Sharples, M.; Gaved, M.; Kukulska-Hulme, A.; Rienties, B.; Scanlon, E. and Whitelock, D. (2019). Innovative Pedagogies of the Future: An Evidence-Based Selection.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Front. Educ.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4:113. 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https://doi.org/10.3389/feduc.2019.00113</w:t>
        </w:r>
      </w:hyperlink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Jivet, I.; Wong, J.; Scheffel, M.; Valle Torre, M.; Specht, M. and Drachsler, H. (2021).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Quantum of Choice: How learners’ feedback monitoring decisions, goals and self-regulated learning skills are related.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LAK21: 11th International Learning Analytics and Knowledge Conference (LAK21), April 12–16, 2021, Irvine, CA, USA. ACM, New York, NY, USA, 12 pages.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https://doi.org/10.1145/3448139.3448179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https://repository.tudelft.nl/islandora/object/uuid%3Ae89174ea-eb89-4a2a-a5a0-8bd1e30359cd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Naujokaitienė, J. &amp; Tamoliune, G. &amp; Volungeviciene, A. &amp; Duart, J. (2020). Using learning analytics to engage students: Improving teaching practices through informed interactions.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Journal of New Approaches in Educational Research.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9 (2). </w:t>
      </w:r>
      <w:r w:rsidDel="00000000" w:rsidR="00000000" w:rsidRPr="00000000">
        <w:rPr>
          <w:rtl w:val="0"/>
        </w:rPr>
        <w:t xml:space="preserve">     </w:t>
      </w:r>
      <w:hyperlink r:id="rId14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https://doi.org/10.7821/naer.2020.7.561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Pokhrel, J. &amp; Awasthi, A. (2021). Effectiveness of Dashboard and Intervention Design. In Sahin, M. &amp; Ifenthaler, D. (eds.),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Visualizations and Dashboards for Learning Analytics, Advances in Analytics for Learning and Teaching.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Chapter 5, pp. 93-116.  Retrieved from 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https://link.springer.com/chapter/10.1007/978-3-030-81222-5_5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Redecker, C.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(2017).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European Framework for the Digital Competence of Educators: DigCompEdu.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Punie, Y. (ed). EUR 28775 EN. Publications Office of the European Union, Luxembourg. Retrieved from: 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https://op.europa.eu/en/publication-detail/-/publication/fcc33b68-d581-11e7-a5b9-01aa75ed71a1/language-en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Rets, I., Herodotou, C., Bayer, V.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(2021). Exploring critical factors of the perceived usefulness of a learning analytics dashboard for distance university students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Int J Educ Technol High Educ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18: 46. </w:t>
      </w:r>
      <w:r w:rsidDel="00000000" w:rsidR="00000000" w:rsidRPr="00000000">
        <w:rPr>
          <w:rtl w:val="0"/>
        </w:rPr>
        <w:t xml:space="preserve">    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https://doi.org/10.1186/s41239-021-00284-9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footerReference r:id="rId2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5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Material de Formação para Professores de HE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5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4D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a6a6a6" w:val="clear"/>
    </w:tcPr>
  </w:style>
  <w:style w:type="table" w:styleId="a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E44D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E44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i.org/10.3389/feduc.2019.00113" TargetMode="External"/><Relationship Id="rId10" Type="http://schemas.openxmlformats.org/officeDocument/2006/relationships/hyperlink" Target="https://doi.org/10.24059/olj.v23i2.1481" TargetMode="External"/><Relationship Id="rId13" Type="http://schemas.openxmlformats.org/officeDocument/2006/relationships/hyperlink" Target="https://repository.tudelft.nl/islandora/object/uuid%3Ae89174ea-eb89-4a2a-a5a0-8bd1e30359cd" TargetMode="External"/><Relationship Id="rId12" Type="http://schemas.openxmlformats.org/officeDocument/2006/relationships/hyperlink" Target="https://doi.org/10.1145/3448139.344817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J8qBKC5QP4&amp;t=1s" TargetMode="External"/><Relationship Id="rId15" Type="http://schemas.openxmlformats.org/officeDocument/2006/relationships/hyperlink" Target="https://link.springer.com/chapter/10.1007/978-3-030-81222-5_5" TargetMode="External"/><Relationship Id="rId14" Type="http://schemas.openxmlformats.org/officeDocument/2006/relationships/hyperlink" Target="https://doi.org/10.7821/naer.2020.7.561" TargetMode="External"/><Relationship Id="rId17" Type="http://schemas.openxmlformats.org/officeDocument/2006/relationships/hyperlink" Target="https://doi.org/10.1186/s41239-021-00284-9" TargetMode="External"/><Relationship Id="rId16" Type="http://schemas.openxmlformats.org/officeDocument/2006/relationships/hyperlink" Target="https://op.europa.eu/en/publication-detail/-/publication/fcc33b68-d581-11e7-a5b9-01aa75ed71a1/language-en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3.png"/><Relationship Id="rId8" Type="http://schemas.openxmlformats.org/officeDocument/2006/relationships/hyperlink" Target="https://www.edglossary.org/student-engage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K66+CCjyI0rQVzD1/65wJQScA==">CgMxLjAyDmguZWN1cXNxMXZtdDQ1Mg5oLjd2OGVwM3F6bTR5eTIOaC5vM3RiNWpwYnBqdTcyDmgub3huenY2dDd4ZnBmMg5oLjV6M3MxMGFkZGpyYzIOaC56N2N6aXloNDhqcG0yDmguM3l0bnVtY2p3NWpiMg5oLjM2NXhqM3YxNzFuZjIOaC5yN3U4bmFmY2VscnU4AHIhMUVFUlloaU84aGVLU01TZEhvM0pQMjVVX0psSE9rS2pU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2023-02-01T15:23:00Z</dcterms:created>
</cp:coreProperties>
</file>