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76" w:lineRule="auto"/>
        <w:rPr>
          <w:rFonts w:ascii="Calibri" w:cs="Calibri" w:eastAsia="Calibri" w:hAnsi="Calibri"/>
          <w:b w:val="1"/>
          <w:color w:val="000000"/>
          <w:sz w:val="30"/>
          <w:szCs w:val="30"/>
        </w:rPr>
      </w:pPr>
      <w:bookmarkStart w:colFirst="0" w:colLast="0" w:name="_heading=h.it0u85nt9ojh" w:id="0"/>
      <w:bookmarkEnd w:id="0"/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Unidade 2.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0"/>
          <w:szCs w:val="30"/>
          <w:rtl w:val="0"/>
        </w:rPr>
        <w:t xml:space="preserve">Análise e interpretação de dados baseados em evidências como apoio a  dinâmicas de ensino e aprendizagem (ACOMPANHAMENTO / DESEMPENHO / FASE DE ENSINO E APRENDIZAGEM)</w:t>
      </w:r>
    </w:p>
    <w:p w:rsidR="00000000" w:rsidDel="00000000" w:rsidP="00000000" w:rsidRDefault="00000000" w:rsidRPr="00000000" w14:paraId="00000002">
      <w:pPr>
        <w:spacing w:line="276" w:lineRule="auto"/>
        <w:ind w:firstLine="280"/>
        <w:jc w:val="center"/>
        <w:rPr>
          <w:rFonts w:ascii="Calibri" w:cs="Calibri" w:eastAsia="Calibri" w:hAnsi="Calibri"/>
          <w:b w:val="1"/>
          <w:color w:val="000000"/>
          <w:sz w:val="30"/>
          <w:szCs w:val="30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</wp:posOffset>
            </wp:positionH>
            <wp:positionV relativeFrom="paragraph">
              <wp:posOffset>47625</wp:posOffset>
            </wp:positionV>
            <wp:extent cx="6081713" cy="3248025"/>
            <wp:effectExtent b="0" l="0" r="0" t="0"/>
            <wp:wrapSquare wrapText="bothSides" distB="19050" distT="19050" distL="19050" distR="19050"/>
            <wp:docPr descr="Diagram&#10;&#10;Description automatically generated" id="43" name="image4.png"/>
            <a:graphic>
              <a:graphicData uri="http://schemas.openxmlformats.org/drawingml/2006/picture">
                <pic:pic>
                  <pic:nvPicPr>
                    <pic:cNvPr descr="Diagram&#10;&#10;Description automatically generated"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81713" cy="3248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after="120" w:line="276" w:lineRule="auto"/>
        <w:ind w:firstLine="280"/>
        <w:jc w:val="both"/>
        <w:rPr>
          <w:rFonts w:ascii="Georgia" w:cs="Georgia" w:eastAsia="Georgia" w:hAnsi="Georgia"/>
          <w:color w:val="333333"/>
        </w:rPr>
      </w:pPr>
      <w:bookmarkStart w:colFirst="0" w:colLast="0" w:name="_heading=h.wxjwn9cun9sb" w:id="2"/>
      <w:bookmarkEnd w:id="2"/>
      <w:r w:rsidDel="00000000" w:rsidR="00000000" w:rsidRPr="00000000">
        <w:rPr>
          <w:rFonts w:ascii="Calibri" w:cs="Calibri" w:eastAsia="Calibri" w:hAnsi="Calibri"/>
          <w:b w:val="1"/>
          <w:color w:val="000000"/>
          <w:sz w:val="30"/>
          <w:szCs w:val="30"/>
          <w:rtl w:val="0"/>
        </w:rPr>
        <w:t xml:space="preserve">Figura 1. A Análise da Aprendizagem como Ferramenta Metacognitiva para Melhorar o Sucesso Académico dos Estudantes (Volungeviciene et al., 2021, p.175)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400" w:lineRule="auto"/>
        <w:rPr>
          <w:color w:val="000000"/>
          <w:sz w:val="28"/>
          <w:szCs w:val="28"/>
        </w:rPr>
      </w:pPr>
      <w:bookmarkStart w:colFirst="0" w:colLast="0" w:name="_heading=h.llpn4dbjlliy" w:id="3"/>
      <w:bookmarkEnd w:id="3"/>
      <w:r w:rsidDel="00000000" w:rsidR="00000000" w:rsidRPr="00000000">
        <w:rPr>
          <w:color w:val="000000"/>
          <w:sz w:val="40"/>
          <w:szCs w:val="40"/>
          <w:rtl w:val="0"/>
        </w:rPr>
        <w:t xml:space="preserve">INTRODUÇÃO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 acordo com o Referencial DigCompEdu (Punie &amp; Redecker, 2017), a análise de evidências faz parte das competências de avaliação, sendo fundamental para gerar, selecionar, analisar criticamente e interpretar evidências digitais relacionadas com as atividades, desempenho e progresso do aprendente, permitindo recolher informações que apoiam o ensino e a aprendizagem. 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Ao recorrer a esta análise, os professores podem ajustar e adaptar o currículo para atender às necessidades e capacidades dos alunos. A análise é ainda útil para os professores planearem o reajustamento dos conteúdos e estratégias durante o curso de acordo com as necessidades dos estudantes, tornando o seu processo de aprendizagem e as intervenções mais personalizados.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análise da aprendizagem fornece informação e conhecimentos valiosos não só para professores mas também para estudantes. De facto, esta aumenta a consciência das capacidades cognitivas dos alunos e um sentido mais forte de comunidade (Trespalacios &amp; Perkins, 2016), fomentando o envolvimento mais ativo dos alunos. Como Sclater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et. al.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(2016) mencionam, existem diferentes formas de analisar e interpretar evidências, tais como 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desenvolvimento de modelos de previsão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(ver introdução conceptual), 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análise de redes sociais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mostrando interações de padrões em fóruns de discussão (Holmes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et al.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2019), e 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personalização da aprendizagem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orientando os aprendentes no seu percurso de aprendizagem com recomendações e indicações sobre o seu progresso.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 relação ao terceiro aspeto, a personalização da aprendizagem, as soluções de conceção da aprendizagem não são consistentes e sequenciais para todos os estudantes. Pelo contrário, o ensino está centrado num tópico amplo que abrange muitos recursos diferentes e os padrões de comportamento dos alunos são diferentes uns dos outros.</w:t>
      </w:r>
    </w:p>
    <w:p w:rsidR="00000000" w:rsidDel="00000000" w:rsidP="00000000" w:rsidRDefault="00000000" w:rsidRPr="00000000" w14:paraId="00000009">
      <w:pPr>
        <w:spacing w:before="24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Importante!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No interesse da transparência, é importante que os alunos saibam desde a primeira aula que o professor pode aceder e monitorizar os dados relacionados com a sua participação em ambientes de aprendizagem virtual. É igualmente importante informá-los sobre os dados que são acedidos, analisados, para que efeito são utilizados e como é garantida a proteção de dados.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jc w:val="both"/>
        <w:rPr>
          <w:color w:val="000000"/>
          <w:sz w:val="32"/>
          <w:szCs w:val="32"/>
        </w:rPr>
      </w:pPr>
      <w:bookmarkStart w:colFirst="0" w:colLast="0" w:name="_heading=h.nf68u7hxt5ri" w:id="4"/>
      <w:bookmarkEnd w:id="4"/>
      <w:r w:rsidDel="00000000" w:rsidR="00000000" w:rsidRPr="00000000">
        <w:rPr>
          <w:color w:val="000000"/>
          <w:sz w:val="32"/>
          <w:szCs w:val="32"/>
          <w:rtl w:val="0"/>
        </w:rPr>
        <w:t xml:space="preserve">Tópicos</w:t>
      </w:r>
    </w:p>
    <w:p w:rsidR="00000000" w:rsidDel="00000000" w:rsidP="00000000" w:rsidRDefault="00000000" w:rsidRPr="00000000" w14:paraId="0000000B">
      <w:pPr>
        <w:spacing w:line="276" w:lineRule="auto"/>
        <w:ind w:left="708" w:hanging="57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2.1. Como analisar e interpretar as evidências disponíveis sobre a atividade e o progresso do aluno para apoiar o seu envolvimento?</w:t>
      </w:r>
    </w:p>
    <w:p w:rsidR="00000000" w:rsidDel="00000000" w:rsidP="00000000" w:rsidRDefault="00000000" w:rsidRPr="00000000" w14:paraId="0000000C">
      <w:pPr>
        <w:spacing w:line="276" w:lineRule="auto"/>
        <w:ind w:left="708" w:hanging="57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2.2. Como fazer intervenções de ensino e aprendizagem com base em dados através de relatórios? </w:t>
      </w:r>
    </w:p>
    <w:p w:rsidR="00000000" w:rsidDel="00000000" w:rsidP="00000000" w:rsidRDefault="00000000" w:rsidRPr="00000000" w14:paraId="0000000D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360" w:line="276" w:lineRule="auto"/>
        <w:ind w:left="708" w:hanging="570"/>
        <w:rPr>
          <w:color w:val="000000"/>
          <w:sz w:val="32"/>
          <w:szCs w:val="32"/>
        </w:rPr>
      </w:pPr>
      <w:bookmarkStart w:colFirst="0" w:colLast="0" w:name="_heading=h.3058d2z9cpmb" w:id="5"/>
      <w:bookmarkEnd w:id="5"/>
      <w:r w:rsidDel="00000000" w:rsidR="00000000" w:rsidRPr="00000000">
        <w:rPr>
          <w:color w:val="000000"/>
          <w:sz w:val="32"/>
          <w:szCs w:val="32"/>
          <w:rtl w:val="0"/>
        </w:rPr>
        <w:t xml:space="preserve">Resultados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Utilizar tecnologias digitais para fornecer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feedback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orientado e atempado aos alunos.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Adaptar estratégias de ensino e fornecer apoio orientado, com base nas evidências geradas pelas plataformas digitais utilizadas.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Gerar, selecionar, analisar criticamente e interpretar evidências digitais sobre a atividade, desempenho e progresso do aprendente, a fim de informar as dinâmicas de ensino e aprendizagem.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Utilizar tecnologias digitais para permitir aos aprendentes refletir e autoavaliar o seu processo de aprendizagem.</w:t>
      </w:r>
    </w:p>
    <w:p w:rsidR="00000000" w:rsidDel="00000000" w:rsidP="00000000" w:rsidRDefault="00000000" w:rsidRPr="00000000" w14:paraId="00000012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jc w:val="both"/>
        <w:rPr>
          <w:color w:val="000000"/>
          <w:sz w:val="32"/>
          <w:szCs w:val="32"/>
        </w:rPr>
      </w:pPr>
      <w:bookmarkStart w:colFirst="0" w:colLast="0" w:name="_heading=h.d04xsutsvln5" w:id="6"/>
      <w:bookmarkEnd w:id="6"/>
      <w:r w:rsidDel="00000000" w:rsidR="00000000" w:rsidRPr="00000000">
        <w:rPr>
          <w:color w:val="000000"/>
          <w:sz w:val="32"/>
          <w:szCs w:val="32"/>
          <w:rtl w:val="0"/>
        </w:rPr>
        <w:t xml:space="preserve">DEFINIÇÕES (Ferramenta de glossário)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Progressão da aprendizagem: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progresso da aprendizagem descreve níveis crescentes de dificuldade e complexidade na aquisição de conhecimentos, competências e atitudes num determinado domínio. Os professores têm de ser capazes de identificar quando e como intervir para fazer avançar a aprendizagem dos alunos.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Desempenho dos alunos: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Uma medida de quão bem os estudantes estão a aprender em termos de desenvolvimento de conhecimentos e competências. </w:t>
      </w:r>
    </w:p>
    <w:p w:rsidR="00000000" w:rsidDel="00000000" w:rsidP="00000000" w:rsidRDefault="00000000" w:rsidRPr="00000000" w14:paraId="00000016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360" w:lineRule="auto"/>
        <w:rPr>
          <w:color w:val="000000"/>
          <w:sz w:val="32"/>
          <w:szCs w:val="32"/>
        </w:rPr>
      </w:pPr>
      <w:bookmarkStart w:colFirst="0" w:colLast="0" w:name="_heading=h.2jfu1q11k3c5" w:id="7"/>
      <w:bookmarkEnd w:id="7"/>
      <w:r w:rsidDel="00000000" w:rsidR="00000000" w:rsidRPr="00000000">
        <w:rPr>
          <w:color w:val="000000"/>
          <w:sz w:val="32"/>
          <w:szCs w:val="32"/>
          <w:rtl w:val="0"/>
        </w:rPr>
        <w:t xml:space="preserve">ESTRATÉGIAS E RECOMENDAÇÕES SOBRE COMO ANALISAR E INTERPRETAR EVIDÊNCIAS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Ponto de vista pedagógico: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Considerar e decidir que dados sobre o comportamento e o processo de aprendizagem e progresso dos alunos são importantes e passíveis de análise;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Decidir que dados serão analisados durante o semestre e no final do semestre/ período de aprendizagem;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Informar os estudantes sobre o que é gerado, controlado e analisado pelo docente e os dados que eles próprios podem analisar;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Analisar os relatórios de atividade dos alunos que demonstram quantas vezes cada recurso ou atividade de aprendizagem foi acedido pelos alunos.  Isto pode ajudar a compreender e aprender sobre os estilos de aprendizagem dos alunos e os formatos preferidos dos recursos de aprendizagem;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Refletir sobre quais as alterações a fazer em relação à conceção da aprendizagem, material de aprendizagem, atividades, tarefas ou estratégias de avaliação baseadas em provas digitais;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Fornecer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feedback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aos estudantes sobre o seu progresso de aprendizagem.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Ponto de vista técnico: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Estabelecer e planear atividades e tarefas que possam ajudar a recolher os dados pretendidos;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Integrar ferramentas digitais externas ou suportadas por VLE que promovam a participação ativa dos alunos (por exemplo, Moodle Mind-map, Mentimeter, Padlet, Jamboard, Google Docs);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Utilizar ferramentas digitais para fornecer feedback oral ou escrito aos estudantes.</w:t>
      </w:r>
    </w:p>
    <w:p w:rsidR="00000000" w:rsidDel="00000000" w:rsidP="00000000" w:rsidRDefault="00000000" w:rsidRPr="00000000" w14:paraId="00000023">
      <w:pPr>
        <w:keepNext w:val="1"/>
        <w:keepLines w:val="1"/>
        <w:spacing w:after="240" w:before="240" w:line="360" w:lineRule="auto"/>
        <w:jc w:val="both"/>
        <w:rPr>
          <w:sz w:val="28"/>
          <w:szCs w:val="28"/>
        </w:rPr>
      </w:pPr>
      <w:bookmarkStart w:colFirst="0" w:colLast="0" w:name="_heading=h.r7u8nafcelru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keepLines w:val="1"/>
        <w:spacing w:after="240" w:before="240" w:line="360" w:lineRule="auto"/>
        <w:jc w:val="both"/>
        <w:rPr>
          <w:rFonts w:ascii="Calibri" w:cs="Calibri" w:eastAsia="Calibri" w:hAnsi="Calibri"/>
        </w:rPr>
      </w:pPr>
      <w:bookmarkStart w:colFirst="0" w:colLast="0" w:name="_heading=h.pfaxb0yeocw0" w:id="9"/>
      <w:bookmarkEnd w:id="9"/>
      <w:r w:rsidDel="00000000" w:rsidR="00000000" w:rsidRPr="00000000">
        <w:rPr>
          <w:sz w:val="28"/>
          <w:szCs w:val="28"/>
          <w:rtl w:val="0"/>
        </w:rPr>
        <w:t xml:space="preserve">MATERIAIS PARA LEITURA POSTERIOR (OPCIONAL)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Bodily, R., &amp; Verbert, K. (2017). Review of research on student-facing learning analytics dashboards and educational recommender systems. I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EEE Transactions on Learning Technologies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 10(4), 405-418. DOI: </w:t>
      </w:r>
      <w:hyperlink r:id="rId8">
        <w:r w:rsidDel="00000000" w:rsidR="00000000" w:rsidRPr="00000000">
          <w:rPr>
            <w:rFonts w:ascii="Calibri" w:cs="Calibri" w:eastAsia="Calibri" w:hAnsi="Calibri"/>
            <w:rtl w:val="0"/>
          </w:rPr>
          <w:t xml:space="preserve">10.1109/TLT.2017.2740172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br w:type="textWrapping"/>
        <w:t xml:space="preserve">Charleer, S., Moere, A. V., Klerkx, J., Verbert, K., &amp; De Laet, T. (2017). Learning analytics dashboards to support adviser-student dialogue. 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IEEE Transactions on Learning Technologies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 11(3), 389-399. DOI: </w:t>
      </w:r>
      <w:hyperlink r:id="rId9">
        <w:r w:rsidDel="00000000" w:rsidR="00000000" w:rsidRPr="00000000">
          <w:rPr>
            <w:rFonts w:ascii="Calibri" w:cs="Calibri" w:eastAsia="Calibri" w:hAnsi="Calibri"/>
            <w:rtl w:val="0"/>
          </w:rPr>
          <w:t xml:space="preserve">10.1109/TLT.2017.2720670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Emplit, P. and Zhang, T. (2020). Evidence-based approaches to learning and teaching,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Learning and Teaching Paper #11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Thematic peer group report, EUA. https://eua.eu/downloads/publications/eua%20report%20evidence-based%20approaches_web.pdf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</w:t>
      </w:r>
    </w:p>
    <w:p w:rsidR="00000000" w:rsidDel="00000000" w:rsidP="00000000" w:rsidRDefault="00000000" w:rsidRPr="00000000" w14:paraId="00000027">
      <w:pPr>
        <w:spacing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Er, E., Dimitriadis, Y. &amp; Gasevic, D. (2021). Collaborative peer feedback and learning analytics: theory oriented design for supporting class-wide interventions, ASSESSMENT &amp; EVALUATION IN HIGHER EDUCATION, VOL. 46, NO. 2, 169–190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https://doi.org/10.1080/02602938.2020.1764490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2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Holmes, W., Nguyen, Q., Zhang, J., Mavrikis, M., &amp; Rienties, B. (2019). Learning analytics for learning design in online distance learning,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Distance Education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hyperlink r:id="rId11">
        <w:r w:rsidDel="00000000" w:rsidR="00000000" w:rsidRPr="00000000">
          <w:rPr>
            <w:rFonts w:ascii="Calibri" w:cs="Calibri" w:eastAsia="Calibri" w:hAnsi="Calibri"/>
            <w:rtl w:val="0"/>
          </w:rPr>
          <w:t xml:space="preserve">https://doi.org/10.1080/01587919.2019.1637716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2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Kitto, K., &amp; Knight, S. (2019). Practical ethics for building learning analytics. 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British Journal of Educational Technology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 50(6), 2855-2870. </w:t>
      </w:r>
      <w:hyperlink r:id="rId12">
        <w:r w:rsidDel="00000000" w:rsidR="00000000" w:rsidRPr="00000000">
          <w:rPr>
            <w:rFonts w:ascii="Calibri" w:cs="Calibri" w:eastAsia="Calibri" w:hAnsi="Calibri"/>
            <w:rtl w:val="0"/>
          </w:rPr>
          <w:t xml:space="preserve">https://doi.org/10.1111/bjet.12868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</w:p>
    <w:p w:rsidR="00000000" w:rsidDel="00000000" w:rsidP="00000000" w:rsidRDefault="00000000" w:rsidRPr="00000000" w14:paraId="0000002B">
      <w:pP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Matcha, W., Gašević, D., &amp; Pardo, A. (2019). A systematic review of empirical studies on learning analytics dashboards: A self-regulated learning perspective. 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IEEE Transactions on Learning Technologies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 13(2), 226-245. DOI: </w:t>
      </w:r>
      <w:hyperlink r:id="rId13">
        <w:r w:rsidDel="00000000" w:rsidR="00000000" w:rsidRPr="00000000">
          <w:rPr>
            <w:rFonts w:ascii="Calibri" w:cs="Calibri" w:eastAsia="Calibri" w:hAnsi="Calibri"/>
            <w:rtl w:val="0"/>
          </w:rPr>
          <w:t xml:space="preserve">10.1109/TLT.2019.2916802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2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Punie, Y., editor(s), Redecker, C.,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European Framework for the Digital Competence of Educators: DigCompEdu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EUR 28775 EN, Publications Office of the European Union, Luxembourg, 2017. Retrieved from: https://op.europa.eu/en/publication-detail/-/publication/fcc33b68-d581-11e7-a5b9-01aa75ed71a1/language-en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Schumacher, C., &amp; Ifenthaler, D. (2018). Features students really expect from learning analytics.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 Computers in human behavior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 78, 397-407.</w:t>
      </w:r>
    </w:p>
    <w:p w:rsidR="00000000" w:rsidDel="00000000" w:rsidP="00000000" w:rsidRDefault="00000000" w:rsidRPr="00000000" w14:paraId="0000002D">
      <w:pPr>
        <w:spacing w:before="2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Sclater, N., Peasgood, A., and Mullan, J. (2016).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Learning Analytics in Higher Education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Bristol: JISC.</w:t>
      </w:r>
    </w:p>
    <w:p w:rsidR="00000000" w:rsidDel="00000000" w:rsidP="00000000" w:rsidRDefault="00000000" w:rsidRPr="00000000" w14:paraId="0000002E">
      <w:pPr>
        <w:spacing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Sedrakyan, G., Malmberg, J., Verbert, K., Järvelä, S., &amp; Kirschner, P. A. (2020). Linking learning behavior analytics and learning science concepts: Designing a learning analytics dashboard for feedback to support learning regulation. 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Computers in Human Behavior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 107, 105512.</w:t>
        <w:br w:type="textWrapping"/>
      </w:r>
      <w:r w:rsidDel="00000000" w:rsidR="00000000" w:rsidRPr="00000000">
        <w:rPr>
          <w:rtl w:val="0"/>
        </w:rPr>
        <w:t xml:space="preserve">     </w:t>
      </w:r>
      <w:hyperlink r:id="rId14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https://doi.org/10.1016/j.chb.2018.05.004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Silvola, A., Näykki, P., Kaveri, A., &amp; Muukkonen, H. (2021). Expectations for supporting student engagement with learning analytics: An academic path perspective.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Computers &amp; Education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168, 104192.   </w:t>
      </w:r>
      <w:hyperlink r:id="rId15">
        <w:r w:rsidDel="00000000" w:rsidR="00000000" w:rsidRPr="00000000">
          <w:rPr>
            <w:rFonts w:ascii="Calibri" w:cs="Calibri" w:eastAsia="Calibri" w:hAnsi="Calibri"/>
            <w:rtl w:val="0"/>
          </w:rPr>
          <w:t xml:space="preserve">https://doi.org/10.1016/j.compedu.2021.104192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Trespalacios, J., &amp; Perkins, R. (2016). Sense of community, perceived learning, and achievement relationships in an online graduate course.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Turkish Online Journal of Distance Education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17(3), 31–49. DOI:</w:t>
      </w:r>
      <w:hyperlink r:id="rId16">
        <w:r w:rsidDel="00000000" w:rsidR="00000000" w:rsidRPr="00000000">
          <w:rPr>
            <w:rFonts w:ascii="Calibri" w:cs="Calibri" w:eastAsia="Calibri" w:hAnsi="Calibri"/>
            <w:rtl w:val="0"/>
          </w:rPr>
          <w:t xml:space="preserve">10.17718/tojde.12984</w:t>
        </w:r>
      </w:hyperlink>
      <w:r w:rsidDel="00000000" w:rsidR="00000000" w:rsidRPr="00000000">
        <w:rPr>
          <w:rtl w:val="0"/>
        </w:rPr>
        <w:t xml:space="preserve">     </w:t>
      </w:r>
      <w:hyperlink r:id="rId17">
        <w:r w:rsidDel="00000000" w:rsidR="00000000" w:rsidRPr="00000000">
          <w:rPr>
            <w:rFonts w:ascii="Calibri" w:cs="Calibri" w:eastAsia="Calibri" w:hAnsi="Calibri"/>
            <w:rtl w:val="0"/>
          </w:rPr>
          <w:t xml:space="preserve">Volungevičienė, A. (2021). </w:t>
        </w:r>
      </w:hyperlink>
      <w:hyperlink r:id="rId18">
        <w:r w:rsidDel="00000000" w:rsidR="00000000" w:rsidRPr="00000000">
          <w:rPr>
            <w:rFonts w:ascii="Calibri" w:cs="Calibri" w:eastAsia="Calibri" w:hAnsi="Calibri"/>
            <w:i w:val="1"/>
            <w:rtl w:val="0"/>
          </w:rPr>
          <w:t xml:space="preserve">Data Analysis of Case Study Examples. In Learning Analytics: a Metacognitive Tool to Engage Students</w:t>
        </w:r>
      </w:hyperlink>
      <w:hyperlink r:id="rId19">
        <w:r w:rsidDel="00000000" w:rsidR="00000000" w:rsidRPr="00000000">
          <w:rPr>
            <w:rFonts w:ascii="Calibri" w:cs="Calibri" w:eastAsia="Calibri" w:hAnsi="Calibri"/>
            <w:rtl w:val="0"/>
          </w:rPr>
          <w:t xml:space="preserve"> (pp. 73-170). Sciendo.</w:t>
        </w:r>
      </w:hyperlink>
      <w:hyperlink r:id="rId20">
        <w:r w:rsidDel="00000000" w:rsidR="00000000" w:rsidRPr="00000000">
          <w:rPr>
            <w:rFonts w:ascii="Calibri" w:cs="Calibri" w:eastAsia="Calibri" w:hAnsi="Calibri"/>
            <w:rtl w:val="0"/>
          </w:rPr>
          <w:t xml:space="preserve"> https://doi.org/10.2478/9788366675643-005</w:t>
        </w:r>
      </w:hyperlink>
      <w:hyperlink r:id="rId21">
        <w:r w:rsidDel="00000000" w:rsidR="00000000" w:rsidRPr="00000000">
          <w:rPr>
            <w:rFonts w:ascii="Calibri" w:cs="Calibri" w:eastAsia="Calibri" w:hAnsi="Calibri"/>
            <w:rtl w:val="0"/>
          </w:rPr>
          <w:t xml:space="preserve">. https://www.sciendo.com/pl/chapter/9788366675643/10.2478/9788366675643-005</w:t>
        </w:r>
      </w:hyperlink>
      <w:r w:rsidDel="00000000" w:rsidR="00000000" w:rsidRPr="00000000">
        <w:rPr>
          <w:rtl w:val="0"/>
        </w:rPr>
      </w:r>
    </w:p>
    <w:sectPr>
      <w:headerReference r:id="rId22" w:type="default"/>
      <w:footerReference r:id="rId23" w:type="default"/>
      <w:footerReference r:id="rId24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Time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rPr/>
    </w:pPr>
    <w:r w:rsidDel="00000000" w:rsidR="00000000" w:rsidRPr="00000000">
      <w:rPr/>
      <w:drawing>
        <wp:inline distB="114300" distT="114300" distL="114300" distR="114300">
          <wp:extent cx="1063113" cy="190500"/>
          <wp:effectExtent b="0" l="0" r="0" t="0"/>
          <wp:docPr id="4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3113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0"/>
        <w:szCs w:val="20"/>
        <w:rtl w:val="0"/>
      </w:rPr>
      <w:t xml:space="preserve">O trabalho Training material "Monitoring, supporting, and engaging students based on the evidence generated by digital technologies" de </w:t>
    </w:r>
    <w:hyperlink r:id="rId2">
      <w:r w:rsidDel="00000000" w:rsidR="00000000" w:rsidRPr="00000000">
        <w:rPr>
          <w:color w:val="8b1a4a"/>
          <w:sz w:val="20"/>
          <w:szCs w:val="20"/>
          <w:u w:val="single"/>
          <w:rtl w:val="0"/>
        </w:rPr>
        <w:t xml:space="preserve">Maina, M.F., Guàrdia, L., Duart, J.M., Mancini, F., Malerba, M.L., Volungeviciene, A., Tamoliune, G.</w:t>
      </w:r>
    </w:hyperlink>
    <w:r w:rsidDel="00000000" w:rsidR="00000000" w:rsidRPr="00000000">
      <w:rPr>
        <w:sz w:val="20"/>
        <w:szCs w:val="20"/>
        <w:rtl w:val="0"/>
      </w:rPr>
      <w:t xml:space="preserve"> está licenciado com uma Licença </w:t>
    </w:r>
    <w:hyperlink r:id="rId3">
      <w:r w:rsidDel="00000000" w:rsidR="00000000" w:rsidRPr="00000000">
        <w:rPr>
          <w:color w:val="8b1a4a"/>
          <w:sz w:val="20"/>
          <w:szCs w:val="20"/>
          <w:u w:val="single"/>
          <w:rtl w:val="0"/>
        </w:rPr>
        <w:t xml:space="preserve">Creative Commons - Atribuição-CompartilhaIgual 4.0 Internacional</w:t>
      </w:r>
    </w:hyperlink>
    <w:r w:rsidDel="00000000" w:rsidR="00000000" w:rsidRPr="00000000">
      <w:rPr>
        <w:sz w:val="20"/>
        <w:szCs w:val="20"/>
        <w:rtl w:val="0"/>
      </w:rPr>
      <w:t xml:space="preserve">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Times" w:cs="Times" w:eastAsia="Times" w:hAnsi="Times"/>
        <w:color w:val="000000"/>
      </w:rPr>
    </w:pPr>
    <w:r w:rsidDel="00000000" w:rsidR="00000000" w:rsidRPr="00000000">
      <w:rPr>
        <w:rFonts w:ascii="Times" w:cs="Times" w:eastAsia="Times" w:hAnsi="Times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rPr>
        <w:i w:val="1"/>
        <w:sz w:val="20"/>
        <w:szCs w:val="20"/>
      </w:rPr>
    </w:pPr>
    <w:r w:rsidDel="00000000" w:rsidR="00000000" w:rsidRPr="00000000">
      <w:rPr>
        <w:rtl w:val="0"/>
      </w:rPr>
      <w:t xml:space="preserve">                                                    </w:t>
    </w:r>
    <w:r w:rsidDel="00000000" w:rsidR="00000000" w:rsidRPr="00000000">
      <w:rPr>
        <w:i w:val="1"/>
        <w:sz w:val="20"/>
        <w:szCs w:val="20"/>
        <w:rtl w:val="0"/>
      </w:rPr>
      <w:t xml:space="preserve">Training Material for HE Teachers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3905250</wp:posOffset>
          </wp:positionH>
          <wp:positionV relativeFrom="paragraph">
            <wp:posOffset>28584</wp:posOffset>
          </wp:positionV>
          <wp:extent cx="2033588" cy="430182"/>
          <wp:effectExtent b="0" l="0" r="0" t="0"/>
          <wp:wrapNone/>
          <wp:docPr id="4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33588" cy="43018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</wp:posOffset>
          </wp:positionH>
          <wp:positionV relativeFrom="paragraph">
            <wp:posOffset>28581</wp:posOffset>
          </wp:positionV>
          <wp:extent cx="1446609" cy="428625"/>
          <wp:effectExtent b="0" l="0" r="0" t="0"/>
          <wp:wrapNone/>
          <wp:docPr id="4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6609" cy="4286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2">
    <w:pPr>
      <w:rPr>
        <w:i w:val="1"/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                                                                      UOC_VMU</w:t>
    </w:r>
  </w:p>
  <w:p w:rsidR="00000000" w:rsidDel="00000000" w:rsidP="00000000" w:rsidRDefault="00000000" w:rsidRPr="00000000" w14:paraId="00000033">
    <w:pPr>
      <w:rPr>
        <w:i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rPr>
        <w:i w:val="1"/>
        <w:sz w:val="20"/>
        <w:szCs w:val="2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rPr>
        <w:i w:val="1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rsid w:val="00DB24DF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3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4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5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6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 w:val="1"/>
    <w:rsid w:val="00A21E8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21E87"/>
  </w:style>
  <w:style w:type="paragraph" w:styleId="Footer">
    <w:name w:val="footer"/>
    <w:basedOn w:val="Normal"/>
    <w:link w:val="FooterChar"/>
    <w:uiPriority w:val="99"/>
    <w:unhideWhenUsed w:val="1"/>
    <w:rsid w:val="00A21E8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21E87"/>
  </w:style>
  <w:style w:type="paragraph" w:styleId="ListParagraph">
    <w:name w:val="List Paragraph"/>
    <w:basedOn w:val="Normal"/>
    <w:uiPriority w:val="34"/>
    <w:qFormat w:val="1"/>
    <w:rsid w:val="00420F85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420F85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420F85"/>
  </w:style>
  <w:style w:type="character" w:styleId="ref-lnk" w:customStyle="1">
    <w:name w:val="ref-lnk"/>
    <w:basedOn w:val="DefaultParagraphFont"/>
    <w:rsid w:val="00721C9E"/>
  </w:style>
  <w:style w:type="character" w:styleId="singlehighlightclass" w:customStyle="1">
    <w:name w:val="single_highlight_class"/>
    <w:basedOn w:val="DefaultParagraphFont"/>
    <w:rsid w:val="00721C9E"/>
  </w:style>
  <w:style w:type="character" w:styleId="searchnone" w:customStyle="1">
    <w:name w:val="searchnone"/>
    <w:basedOn w:val="DefaultParagraphFont"/>
    <w:rsid w:val="0039043D"/>
  </w:style>
  <w:style w:type="table" w:styleId="a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56D2B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56D2B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i.org/10.2478/9788366675643-005" TargetMode="External"/><Relationship Id="rId11" Type="http://schemas.openxmlformats.org/officeDocument/2006/relationships/hyperlink" Target="https://doi.org/10.1080/01587919.2019.1637716" TargetMode="External"/><Relationship Id="rId22" Type="http://schemas.openxmlformats.org/officeDocument/2006/relationships/header" Target="header1.xml"/><Relationship Id="rId10" Type="http://schemas.openxmlformats.org/officeDocument/2006/relationships/hyperlink" Target="https://doi.org/10.1080/02602938.2020.1764490" TargetMode="External"/><Relationship Id="rId21" Type="http://schemas.openxmlformats.org/officeDocument/2006/relationships/hyperlink" Target="https://www.sciendo.com/pl/chapter/9788366675643/10.2478/9788366675643-005" TargetMode="External"/><Relationship Id="rId13" Type="http://schemas.openxmlformats.org/officeDocument/2006/relationships/hyperlink" Target="https://doi.org/10.1109/TLT.2019.2916802" TargetMode="External"/><Relationship Id="rId24" Type="http://schemas.openxmlformats.org/officeDocument/2006/relationships/footer" Target="footer1.xml"/><Relationship Id="rId12" Type="http://schemas.openxmlformats.org/officeDocument/2006/relationships/hyperlink" Target="https://doi.org/10.1111/bjet.12868" TargetMode="External"/><Relationship Id="rId23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i.org/10.1109/TLT.2017.2720670" TargetMode="External"/><Relationship Id="rId15" Type="http://schemas.openxmlformats.org/officeDocument/2006/relationships/hyperlink" Target="https://doi.org/10.1016/j.compedu.2021.104192" TargetMode="External"/><Relationship Id="rId14" Type="http://schemas.openxmlformats.org/officeDocument/2006/relationships/hyperlink" Target="https://doi.org/10.1016/j.chb.2018.05.004" TargetMode="External"/><Relationship Id="rId17" Type="http://schemas.openxmlformats.org/officeDocument/2006/relationships/hyperlink" Target="https://www.sciendo.com/pl/chapter/9788366675643/10.2478/9788366675643-005" TargetMode="External"/><Relationship Id="rId16" Type="http://schemas.openxmlformats.org/officeDocument/2006/relationships/hyperlink" Target="http://dx.doi.org/10.17718/tojde.12984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sciendo.com/pl/chapter/9788366675643/10.2478/9788366675643-005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www.sciendo.com/pl/chapter/9788366675643/10.2478/9788366675643-005" TargetMode="External"/><Relationship Id="rId7" Type="http://schemas.openxmlformats.org/officeDocument/2006/relationships/image" Target="media/image4.png"/><Relationship Id="rId8" Type="http://schemas.openxmlformats.org/officeDocument/2006/relationships/hyperlink" Target="https://doi.org/10.1109/TLT.2017.2740172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s://teacamp.vdu.lt/course/view.php?id=101" TargetMode="External"/><Relationship Id="rId3" Type="http://schemas.openxmlformats.org/officeDocument/2006/relationships/hyperlink" Target="http://creativecommons.org/licenses/by-sa/4.0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XCZQhem3HZaoxnxJkHNTbdK1Kw==">CgMxLjAyDmguaXQwdTg1bnQ5b2poMghoLmdqZGd4czIOaC53eGp3bjljdW45c2IyDmgubGxwbjRkYmpsbGl5Mg5oLm5mNjh1N2h4dDVyaTIOaC4zMDU4ZDJ6OWNwbWIyDmguZDA0eHN1dHN2bG41Mg5oLjJqZnUxcTExazNjNTIOaC5yN3U4bmFmY2VscnUyDmgucGZheGIweWVvY3cwOAByITFYaG0yNk1nUE9mYWhHbDNqWnl1NWxxaEVPelRxYlhNMg==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2023-01-31T22:39:00Z</dcterms:created>
</cp:coreProperties>
</file>