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Unidade 1. Concepção de estratégias de ensino e aprendizagem baseadas em evidências que promovam a aprendizagem auto-regulada em AVA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4530125" cy="3013204"/>
            <wp:effectExtent b="0" l="0" r="0" t="0"/>
            <wp:docPr id="4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0125" cy="30132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Introdução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Ao conceber estratégias de ensino e aprendizagem baseadas em evidências, é importante não só falar sobre quais os dados que podem ser recolhidos, mas também concentrar-se em como conceber o ensino e a aprendizagem de forma a apoiar a aprendizagem metacognitiva dos estudantes. Saber quais as estratégias metacognitivas que apoiam o envolvimento, desempenho e aprendizagem auto-regulada dos estudantes pode ajudar a decidir que ferramentas utilizar para recolher evidências digitais sobre o comportamento dos estudantes.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Uma boa análise da aprendizagem começa com a reflexão sobre como as actividades e ferramentas estão a ser criadas, e como irão gerar evidências e dados que poderão informar o ensino e a aprendizagem. Esta fase de concepção da aprendizagem refere-se a estratégias de planeamento para a recolha de dados, ou seja, quando os professores planeiam e desenvolvem o seu currículo e o curso. Ao conceber o curso, o professor deve pré-planear actividades, tarefas, avaliações, recursos de aprendizagem e ferramentas, que gerariam dados sobre o progresso dos alunos e permitiriam sensibilizar professores e alunos para o processo e progresso da aprendizagem. 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Nesta unidade mostrar-lhe-emos como conceber estratégias metacognitivas de ensino e aprendizagem (1.1.), como concretizar as definições das actividades do curso para acompanhar o envolvimento dos alunos (1.2.) e, finalmente, como seleccionar e incorporar ferramentas digitais que captem dados sobre o progresso dos alunos (1.3.). 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Tópicos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1.1. Como conceber estratégias metacognitivas de ensino e aprendizagem?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1.2. Como concretizar as definições das actividades do curso para acompanhar o envolvimento dos alunos?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1.3. Como seleccionar e incorporar ferramentas digitais que captem dados sobre o progresso dos aprendentes?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Resultados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1.</w:t>
        <w:tab/>
        <w:t xml:space="preserve">Conceber estratégias metacognitivas de ensino e aprendizagem que facilitem o envolvimento dos alunos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2.</w:t>
        <w:tab/>
        <w:t xml:space="preserve">Seleccionar e configurar ferramentas que apoiam actividades de aprendizagem metacognitiva e geram dados sobre a concepção ou o progresso da aprendizagem.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3.</w:t>
        <w:tab/>
        <w:t xml:space="preserve">Utilizar tecnologias digitais para fornecer feedback orientado e atempado aos aprendentes.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  <w:tab/>
        <w:t xml:space="preserve">Utilizar tecnologias digitais (por exemplo, blogs, diários, ferramentas de planeamento) para permitir aos alunos planear a sua própria aprendizagem.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Definições (Glossário Moodle)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Dados: no contexto deste quadro, os dados são as informações que recolhemos sobre os estudantes. Podem provir de formulários, testes, interacção dos alunos com recursos ou actividades de aprendizagem, etc.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Literacia de dados: A capacidade de encontrar, avaliar e ler dados de forma crítica, muitas vezes para além da sua forma numérica e quantitativa. A análise da aprendizagem centra-se na recolha e geração de dados dos alunos para melhorar as experiências de ensino e aprendizagem. No entanto, depende das capacidades de literacia digital dos professores e dos alunos se os dados gerados pela AA informam ou não o ensino e a aprendizagem.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Aprendizagem e ensino baseados em evidências (AEBE): A aprendizagem e o ensino com base em evidências, conforme descrito pelo relatório dos EUA, inclui várias etapas: (1) decisão da questão a abordar, (2) recolha e análise das provas, (3) concepção, objectivos e indicadores de avaliação, (4) implementação e prática, (5) tomada de decisões baseadas em evidências para melhorar o processo (Emplit &amp; Zhang, 2020).    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Análise da aprendizagem: é uma ferramenta de avaliação, interpretação e análise de dados gerados pelo aluno no ambiente de aprendizagem online, a fim de tornar os processos de aprendizagem e ensino mais eficientes pelo professor nas intervenções necessárias para aconselhar ou consultar os alunos em tempo útil para melhorar o seu sucesso académico. (Volungeviciene et al., 2021, 12). Existem quatro categorias principais de análise da aprendizagem: (1) descritiva (o que aconteceu?); (2) preditiva (o que vai acontecer a seguir?); (3) diagnóstica (porque aconteceu?); (4) prescritiva (fazer isto para melhorar).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Tomada de decisões metacognitivas: conhecimento das decisões específicas de concepção de ensino e aprendizagem e das razões por detrás dessas decisões (Griffith et al., 2016).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● Aprendizagem auto-regulada: A aprendizagem auto-regulada é um quadro conceptual importante que inclui vários aspectos da aprendizagem: cognitiva, metacognitiva, comportamental, motivacional, e emocional (Panadero, 2017). Zimmerman (2000) desenvolveu um modelo de fases cíclicas do AAR organizado em três fases: (1) pensamento, (2) desempenho e (3) auto-reflexão. Na primeira fase, os estudantes definem os seus objectivos, activam estratégias de aprendizagem, e tentam alcançar os seus objectivos; na fase de desempenho, executam a tarefa, monitorizam o seu progresso, e utilizam estratégias para manter o empenho e a motivação. Finalmente, na fase de auto-reflexão, os estudantes avaliam o seu desempenho, o que afectará o seu desempenho posterior de forma positiva ou negativa. (Zimmerman &amp; Moylen, 2009; Panadero, 2017).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Competência: Uma declaração geral que descreve os conhecimentos, aptidões e comportamentos desejados de um estudante que se forma de um programa (ou que completa um curso). As competências geralmente definem as aptidões e conhecimentos aplicados que permitem às pessoas ter um bom desempenho em contextos profissionais, educativos e outros contextos de vida (Gosselin, 2020). 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Resultado de aprendizagem: Uma declaração específica que descreve exactamente o que um estudante será capaz de fazer de alguma forma mensurável. Pode haver mais de um resultado mensurável definido para uma determinada competência (Gosselin, 2020). 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Presença social: De acordo com Rourke et al. (2001, p. 51), "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social presence is the ability of learners to project their personal characteristics into the community of inquiry, thereby presenting themselves as “real people”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.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AAR - Aprendizagem auto-regulada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AA - Análise da aprendizagem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MOOC - Curso em linha aberto massivo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PAA - Painel de análise de aprendizagem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AVA - Ambiente virtual de aprendizagem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SGA - Sistema de gestão da aprendizagem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Evidência digital - informação e dados de valor para uma investigação que é armazenada, recebida ou transmitida por um dispositivo electrónico (Electronic CSI, 2008).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Metacognição - uma componente crítica da aprendizagem bem sucedida, que envolve auto-regulação e auto-reflexão do processo de aprendizagem e controla os processos de pensamento (Medina et al., 2017).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● Estratégias de ensino e aprendizagem - técnicas e métodos que um professor aplica para apoiar a aprendizagem dos estudantes. As estratégias de ensino eficazes incluem o planeamento prévio, a definição de objectivos e critérios de aprendizagem para o sucesso, e o fornecimento consistente de feedback (Maine, N/A; Governo NSW, 2022). 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Estratégias e recomendações sobre como conceber estratégias de aprendizagem e avaliação que geram provas digitais para ajudar os alunos a planear a sua própria aprendizagem 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● Ponto de vista pedagógico: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Planear e decidir antecipadamente quais as ferramentas e actividades Moodle que são importantes e necessitam de ser utilizadas no curso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Explicar claramente os resultados e objectivos da aprendizagem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Utilizar perguntas frequentes para verificar a compreensão durante a aula/curso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Actividades de aprendizagem de design que fomentam a colaboração e a utilização de ferramentas digitais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Resumir os novos conteúdos de aprendizagem a adquirir de forma gráfica (infográficos, diagramas Venn, mapas mentais, fluxogramas)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Encorajar o envolvimento dos alunos, apresentando material de aprendizagem em diferentes formatos (textual, vídeo, áudio) para reflectir os seus diferentes estilos de aprendizagem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Favorecer o feedback e o feedback entre os pares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Promover a colaboração dos estudantes e a co-criação de artefactos educativos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Ensinar as estratégias subjacentes à execução de tarefas em vez de apenas conteúdo (fazer ligações, auto-verbalizar, resolver problemas)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 Cultivar a Meta-cognição (os estudantes têm de pensar na eficácia das suas escolhas de aprendizagem e descobrir como melhorá-las para alcançar melhores resultados).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● Ponto de vista técnico: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Adicionar uma actividade de atribuição (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7"/>
            <w:szCs w:val="27"/>
            <w:u w:val="single"/>
            <w:rtl w:val="0"/>
          </w:rPr>
          <w:t xml:space="preserve">tutorial sobre a actividade de atribuição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Adicionar uma actividade de feedback (pode ser usada como ferramenta para avaliação sumativa, feedback, selecção, etc.) (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7"/>
            <w:szCs w:val="27"/>
            <w:u w:val="single"/>
            <w:rtl w:val="0"/>
          </w:rPr>
          <w:t xml:space="preserve">tutorial sobre a actividade de feedback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Adicionar resultados de aprendizagem utilizados num curso (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7"/>
            <w:szCs w:val="27"/>
            <w:u w:val="single"/>
            <w:rtl w:val="0"/>
          </w:rPr>
          <w:t xml:space="preserve">tutorial sobre como adicionar resultados de aprendizagem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Activar fórum de discussão (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7"/>
            <w:szCs w:val="27"/>
            <w:u w:val="single"/>
            <w:rtl w:val="0"/>
          </w:rPr>
          <w:t xml:space="preserve">tutorial sobre a actividade do fórum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Activar o acompanhamento da conclusão da actividade (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7"/>
            <w:szCs w:val="27"/>
            <w:u w:val="single"/>
            <w:rtl w:val="0"/>
          </w:rPr>
          <w:t xml:space="preserve">tutorial sobre a conclusão da actividade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Associar actividades de aprendizagem com os resultados da aprendizagem (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7"/>
            <w:szCs w:val="27"/>
            <w:u w:val="single"/>
            <w:rtl w:val="0"/>
          </w:rPr>
          <w:t xml:space="preserve">tutorial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Verificar as oportunidades interactivas de metacognição e reflexão proporcionadas por um AVA (por exemplo, portefólios dos aprendentes).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Verificar as oportunidades oferecidas pelos fóruns para a prestação de feedback.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Verificar as diferentes soluções técnicas, bem como as ferramentas de co-criação (por exemplo, wikis) fornecidas por um AVA.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REFERÊNCIAS  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Electronic CSI, A Guide for First Responders, 2nd edition, National Institute of Justice, April 2008. 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rtl w:val="0"/>
          </w:rPr>
          <w:t xml:space="preserve">https://nij.ojp.gov/digital-evidence-and-forensics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Emplit, P. and Zhang, T. (2020).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Evidence-based approaches to learning and teaching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Learning and Teaching Paper #11, Thematic peer group report, EUA. </w:t>
      </w:r>
      <w:hyperlink r:id="rId15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https://eua.eu/downloads/publications/eua%20report%20evidence-based%20approaches_web.pdf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Griffith, R., Bauml, M., &amp; Quebec-Fuentes, S. (2016). Promoting metacognitive decision-making in teacher education.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Theory into Practice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55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(3), 242–249. </w:t>
      </w:r>
      <w:hyperlink r:id="rId16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https://doi.org/10.1080/00405841.2016.1173997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Gosselin, D. (2020). Competencies and learning outcomes. InTerGate. </w:t>
      </w:r>
      <w:hyperlink r:id="rId1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https://serc.carleton.edu/integrate/programs/workforceprep/competencies_and_LO.html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Medina, M. S., Castleberry, A. N., &amp; Persky, A. M. (2017). Strategies for improving learner metacognition in health professional education. American Journal of Pharmaceutical Education, 81(4), 1–14. </w:t>
      </w:r>
      <w:hyperlink r:id="rId18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https://doi.org/10.5688/ajpe81478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NSW Government and The Learning bar (2022). Teaching strategies. </w:t>
      </w:r>
      <w:hyperlink r:id="rId19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https://education.nsw.gov.au/student-wellbeing/tell-them-from-me/accessing-and-using-tell-them-from-me-data/tell-them-from-me-measures/teaching-strategies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Maine, P. (N/A). Teaching and learning strategies: A classroom guide. </w:t>
      </w:r>
      <w:hyperlink r:id="rId20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https://www.structural-learning.com/post/teaching-and-learning-strategies-a-classroom-guide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Panadero, E. (2017). A review of self-regulated learning: Six models and four directions for research.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Front.Psychol.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8.</w:t>
      </w:r>
      <w:hyperlink r:id="rId21">
        <w:r w:rsidDel="00000000" w:rsidR="00000000" w:rsidRPr="00000000">
          <w:rPr>
            <w:rFonts w:ascii="Calibri" w:cs="Calibri" w:eastAsia="Calibri" w:hAnsi="Calibri"/>
            <w:rtl w:val="0"/>
          </w:rPr>
          <w:t xml:space="preserve"> https://doi.org/10.3389/fpsyg.2017.00422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Rourke, L., Anderson, T., Archer W., Garrison, D.R. (2001). Assessing social presence in asynchronous, text-based computer conferences. Journal of Distance Education, 14, pp. 51-70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Zimmerman, B. J. (2000). Attaining self-regulation: A social cognitive perspective. In M. Boekaerts, P. R. Pintrich, &amp; M. Zeidner (Eds.),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Handbook of self-regulation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(pp. 13–39). Academic Press. </w:t>
      </w:r>
      <w:hyperlink r:id="rId22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https://doi.org/10.1016/B978-012109890-2/50031-7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Zimmerman, B. J., &amp; Moylan, A. R. (2009). Self-regulation: Where metacognition and motivation intersect. In D. J. Hacker, J. Dunlosky, &amp; A. C. Graesser (Eds.),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Handbook of metacognition in education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(pp. 299–315). Routledge/Taylor &amp; Francis Group.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Volungeviciene, A., Tereseviciene, M., &amp; Trepule, E. (2021). Learning Analytics: a Metacognitive Tool to Engage Students. Research study. Sciendo.</w:t>
      </w:r>
      <w:hyperlink r:id="rId23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 https://doi.org/10.2478/9788366675643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24" w:type="default"/>
      <w:footerReference r:id="rId25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1063113" cy="190500"/>
          <wp:effectExtent b="0" l="0" r="0" t="0"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 trabalho Training material "Monitoring, supporting, and engaging students based on the evidence generated by digital technologies" de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8b1a4a"/>
          <w:sz w:val="20"/>
          <w:szCs w:val="20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está licenciado com uma Licença </w:t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8b1a4a"/>
          <w:sz w:val="20"/>
          <w:szCs w:val="20"/>
          <w:u w:val="single"/>
          <w:rtl w:val="0"/>
        </w:rPr>
        <w:t xml:space="preserve">Creative Commons - Atribuição-CompartilhaIgual 4.0 Internacional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28583</wp:posOffset>
          </wp:positionV>
          <wp:extent cx="2033588" cy="430182"/>
          <wp:effectExtent b="0" l="0" r="0" t="0"/>
          <wp:wrapNone/>
          <wp:docPr descr="Graphical user interface&#10;&#10;Description automatically generated with medium confidence" id="47" name="image2.png"/>
          <a:graphic>
            <a:graphicData uri="http://schemas.openxmlformats.org/drawingml/2006/picture">
              <pic:pic>
                <pic:nvPicPr>
                  <pic:cNvPr descr="Graphical user interface&#10;&#10;Description automatically generated with medium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4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39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A05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A05FC"/>
  </w:style>
  <w:style w:type="paragraph" w:styleId="Footer">
    <w:name w:val="footer"/>
    <w:basedOn w:val="Normal"/>
    <w:link w:val="FooterChar"/>
    <w:uiPriority w:val="99"/>
    <w:unhideWhenUsed w:val="1"/>
    <w:rsid w:val="005A05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A05FC"/>
  </w:style>
  <w:style w:type="character" w:styleId="apple-converted-space" w:customStyle="1">
    <w:name w:val="apple-converted-space"/>
    <w:basedOn w:val="DefaultParagraphFont"/>
    <w:rsid w:val="005A05FC"/>
  </w:style>
  <w:style w:type="character" w:styleId="Hyperlink">
    <w:name w:val="Hyperlink"/>
    <w:basedOn w:val="DefaultParagraphFont"/>
    <w:uiPriority w:val="99"/>
    <w:unhideWhenUsed w:val="1"/>
    <w:rsid w:val="005A05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915A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915A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tructural-learning.com/post/teaching-and-learning-strategies-a-classroom-guide" TargetMode="External"/><Relationship Id="rId22" Type="http://schemas.openxmlformats.org/officeDocument/2006/relationships/hyperlink" Target="https://psycnet.apa.org/doi/10.1016/B978-012109890-2/50031-7" TargetMode="External"/><Relationship Id="rId21" Type="http://schemas.openxmlformats.org/officeDocument/2006/relationships/hyperlink" Target="https://doi.org/10.3389/fpsyg.2017.00422" TargetMode="External"/><Relationship Id="rId24" Type="http://schemas.openxmlformats.org/officeDocument/2006/relationships/header" Target="header1.xml"/><Relationship Id="rId23" Type="http://schemas.openxmlformats.org/officeDocument/2006/relationships/hyperlink" Target="https://doi.org/10.2478/978836667564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moodle.org/400/en/Assignment_activity" TargetMode="External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s://docs.moodle.org/400/en/Assignment_activity" TargetMode="External"/><Relationship Id="rId11" Type="http://schemas.openxmlformats.org/officeDocument/2006/relationships/hyperlink" Target="https://docs.moodle.org/400/en/Forum_activity" TargetMode="External"/><Relationship Id="rId10" Type="http://schemas.openxmlformats.org/officeDocument/2006/relationships/hyperlink" Target="https://docs.moodle.org/400/en/Outcomes" TargetMode="External"/><Relationship Id="rId13" Type="http://schemas.openxmlformats.org/officeDocument/2006/relationships/hyperlink" Target="https://www.youtube.com/watch?v=LCYbjmqyLbg" TargetMode="External"/><Relationship Id="rId12" Type="http://schemas.openxmlformats.org/officeDocument/2006/relationships/hyperlink" Target="https://docs.moodle.org/311/en/Tracking_progress#Activity_completion" TargetMode="External"/><Relationship Id="rId15" Type="http://schemas.openxmlformats.org/officeDocument/2006/relationships/hyperlink" Target="https://eua.eu/downloads/publications/eua%20report%20evidence-based%20approaches_web.pdf" TargetMode="External"/><Relationship Id="rId14" Type="http://schemas.openxmlformats.org/officeDocument/2006/relationships/hyperlink" Target="https://nij.ojp.gov/digital-evidence-and-forensics" TargetMode="External"/><Relationship Id="rId17" Type="http://schemas.openxmlformats.org/officeDocument/2006/relationships/hyperlink" Target="https://serc.carleton.edu/integrate/programs/workforceprep/competencies_and_LO.html" TargetMode="External"/><Relationship Id="rId16" Type="http://schemas.openxmlformats.org/officeDocument/2006/relationships/hyperlink" Target="https://doi.org/10.1080/00405841.2016.1173997" TargetMode="External"/><Relationship Id="rId19" Type="http://schemas.openxmlformats.org/officeDocument/2006/relationships/hyperlink" Target="https://education.nsw.gov.au/student-wellbeing/tell-them-from-me/accessing-and-using-tell-them-from-me-data/tell-them-from-me-measures/teaching-strategies" TargetMode="External"/><Relationship Id="rId18" Type="http://schemas.openxmlformats.org/officeDocument/2006/relationships/hyperlink" Target="https://doi.org/10.5688/ajpe81478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101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9Jo56XYTWiS+lglT4GymxQ6lDg==">CgMxLjA4AHIhMWJ6ZWRuZWVwWXR0aGRfZ2p4Q0hBMklyVzlDVHYzcG43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2023-02-04T15:42:00Z</dcterms:created>
  <dc:creator>António Moreira</dc:creator>
</cp:coreProperties>
</file>