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Unidade 1. Concepção de estratégias de ensino e aprendizagem baseadas em evidências que promovam a aprendizagem auto-regulada em AVA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b w:val="1"/>
          <w:sz w:val="40"/>
          <w:szCs w:val="40"/>
        </w:rPr>
        <w:drawing>
          <wp:inline distB="114300" distT="114300" distL="114300" distR="114300">
            <wp:extent cx="4530125" cy="3013204"/>
            <wp:effectExtent b="0" l="0" r="0" t="0"/>
            <wp:docPr id="46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30125" cy="30132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Introdução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Ao conceber estratégias de ensino e aprendizagem baseadas em evidências, é importante não só falar sobre quais os dados que podem ser recolhidos, mas também concentrar-se em como conceber o ensino e a aprendizagem de forma a apoiar a aprendizagem metacognitiva dos estudantes. Saber quais as estratégias metacognitivas que apoiam o envolvimento, desempenho e aprendizagem auto-regulada dos estudantes pode ajudar a decidir que ferramentas utilizar para recolher evidências digitais sobre o comportamento dos estudantes.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Uma boa análise da aprendizagem começa com a reflexão sobre como as actividades e ferramentas estão a ser criadas, e como irão gerar evidências e dados que poderão informar o ensino e a aprendizagem. Esta fase de concepção da aprendizagem refere-se a estratégias de planeamento para a recolha de dados, ou seja, quando os professores planeiam e desenvolvem o seu currículo e o curso. Ao conceber o curso, o professor deve pré-planear actividades, tarefas, avaliações, recursos de aprendizagem e ferramentas, que gerariam dados sobre o progresso dos alunos e permitiriam sensibilizar professores e alunos para o processo e progresso da aprendizagem.  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Nesta unidade mostrar-lhe-emos como conceber estratégias metacognitivas de ensino e aprendizagem (1.1.), como concretizar as definições das actividades do curso para acompanhar o envolvimento dos alunos (1.2.) e, finalmente, como seleccionar e incorporar ferramentas digitais que captem dados sobre o progresso dos alunos (1.3.). 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Tópicos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1.1. Como conceber estratégias metacognitivas de ensino e aprendizagem? 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1.2. Como concretizar as definições das actividades do curso para acompanhar o envolvimento dos alunos?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1.3. Como seleccionar e incorporar ferramentas digitais que captem dados sobre o progresso dos aprendentes?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Resultados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1.</w:t>
        <w:tab/>
        <w:t xml:space="preserve">Conceber estratégias metacognitivas de ensino e aprendizagem que facilitem o envolvimento dos alunos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2.</w:t>
        <w:tab/>
        <w:t xml:space="preserve">Seleccionar e configurar ferramentas que apoiam actividades de aprendizagem metacognitiva e geram dados sobre a concepção ou o progresso da aprendizagem.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3.</w:t>
        <w:tab/>
        <w:t xml:space="preserve">Utilizar tecnologias digitais para fornecer feedback orientado e atempado aos aprendentes. 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</w:t>
        <w:tab/>
        <w:t xml:space="preserve">Utilizar tecnologias digitais (por exemplo, blogs, diários, ferramentas de planeamento) para permitir aos alunos planear a sua própria aprendizagem.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Definições (Glossário Moodle)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● Dados: no contexto deste quadro, os dados são as informações que recolhemos sobre os estudantes. Podem provir de formulários, testes, interacção dos alunos com recursos ou actividades de aprendizagem, etc.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● Literacia de dados: A capacidade de encontrar, avaliar e ler dados de forma crítica, muitas vezes para além da sua forma numérica e quantitativa. A análise da aprendizagem centra-se na recolha e geração de dados dos alunos para melhorar as experiências de ensino e aprendizagem. No entanto, depende das capacidades de literacia digital dos professores e dos alunos se os dados gerados pela AA informam ou não o ensino e a aprendizagem. 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● Aprendizagem e ensino baseados em evidências (AEBE): A aprendizagem e o ensino com base em evidências, conforme descrito pelo relatório dos EUA, inclui várias etapas: (1) decisão da questão a abordar, (2) recolha e análise das provas, (3) concepção, objectivos e indicadores de avaliação, (4) implementação e prática, (5) tomada de decisões baseadas em evidências para melhorar o processo (Emplit &amp; Zhang, 2020).     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● Análise da aprendizagem: é uma ferramenta de avaliação, interpretação e análise de dados gerados pelo aluno no ambiente de aprendizagem online, a fim de tornar os processos de aprendizagem e ensino mais eficientes pelo professor nas intervenções necessárias para aconselhar ou consultar os alunos em tempo útil para melhorar o seu sucesso académico. (Volungeviciene et al., 2021, 12). Existem quatro categorias principais de análise da aprendizagem: (1) descritiva (o que aconteceu?); (2) preditiva (o que vai acontecer a seguir?); (3) diagnóstica (porque aconteceu?); (4) prescritiva (fazer isto para melhorar).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● Tomada de decisões metacognitivas: conhecimento das decisões específicas de concepção de ensino e aprendizagem e das razões por detrás dessas decisões (Griffith et al., 2016).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● Aprendizagem auto-regulada: A aprendizagem auto-regulada é um quadro conceptual importante que inclui vários aspectos da aprendizagem: cognitiva, metacognitiva, comportamental, motivacional, e emocional (Panadero, 2017). Zimmerman (2000) desenvolveu um modelo de fases cíclicas do AAR organizado em três fases: (1) pensamento, (2) desempenho e (3) auto-reflexão. Na primeira fase, os estudantes definem os seus objectivos, activam estratégias de aprendizagem, e tentam alcançar os seus objectivos; na fase de desempenho, executam a tarefa, monitorizam o seu progresso, e utilizam estratégias para manter o empenho e a motivação. Finalmente, na fase de auto-reflexão, os estudantes avaliam o seu desempenho, o que afectará o seu desempenho posterior de forma positiva ou negativa. (Zimmerman &amp; Moylen, 2009; Panadero, 2017).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● Competência: Uma declaração geral que descreve os conhecimentos, aptidões e comportamentos desejados de um estudante que se forma de um programa (ou que completa um curso). As competências geralmente definem as aptidões e conhecimentos aplicados que permitem às pessoas ter um bom desempenho em contextos profissionais, educativos e outros contextos de vida (Gosselin, 2020).  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● Resultado de aprendizagem: Uma declaração específica que descreve exactamente o que um estudante será capaz de fazer de alguma forma mensurável. Pode haver mais de um resultado mensurável definido para uma determinada competência (Gosselin, 2020).  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● Presença social: De acordo com Rourke et al. (2001, p. 51), "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social presence is the ability of learners to project their personal characteristics into the community of inquiry, thereby presenting themselves as “real people”</w:t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. 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● AAR - Aprendizagem auto-regulada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● AA - Análise da aprendizagem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● MOOC - Curso em linha aberto massivo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● PAA - Painel de análise de aprendizagem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● AVA - Ambiente virtual de aprendizagem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● SGA - Sistema de gestão da aprendizagem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● Evidência digital - informação e dados de valor para uma investigação que é armazenada, recebida ou transmitida por um dispositivo electrónico (Electronic CSI, 2008).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● Metacognição - uma componente crítica da aprendizagem bem sucedida, que envolve auto-regulação e auto-reflexão do processo de aprendizagem e controla os processos de pensamento (Medina et al., 2017).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● Estratégias de ensino e aprendizagem - técnicas e métodos que um professor aplica para apoiar a aprendizagem dos estudantes. As estratégias de ensino eficazes incluem o planeamento prévio, a definição de objectivos e critérios de aprendizagem para o sucesso, e o fornecimento consistente de feedback (Maine, N/A; Governo NSW, 2022). 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Estratégias e recomendações sobre como conceber estratégias de aprendizagem e avaliação que geram provas digitais para ajudar os alunos a planear a sua própria aprendizagem 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● Ponto de vista pedagógico: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 Planear e decidir antecipadamente quais as ferramentas e actividades Moodle que são importantes e necessitam de ser utilizadas no curso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 Explicar claramente os resultados e objectivos da aprendizagem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 Utilizar perguntas frequentes para verificar a compreensão durante a aula/curso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 Actividades de aprendizagem de design que fomentam a colaboração e a utilização de ferramentas digitais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 Resumir os novos conteúdos de aprendizagem a adquirir de forma gráfica (infográficos, diagramas Venn, mapas mentais, fluxogramas)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 Encorajar o envolvimento dos alunos, apresentando material de aprendizagem em diferentes formatos (textual, vídeo, áudio) para reflectir os seus diferentes estilos de aprendizagem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 Favorecer o feedback e o feedback entre os pares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 Promover a colaboração dos estudantes e a co-criação de artefactos educativos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 Ensinar as estratégias subjacentes à execução de tarefas em vez de apenas conteúdo (fazer ligações, auto-verbalizar, resolver problemas)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 Cultivar a Meta-cognição (os estudantes têm de pensar na eficácia das suas escolhas de aprendizagem e descobrir como melhorá-las para alcançar melhores resultados).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● Ponto de vista técnico: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o Adicionar uma actividade de atribuição (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7"/>
            <w:szCs w:val="27"/>
            <w:u w:val="single"/>
            <w:rtl w:val="0"/>
          </w:rPr>
          <w:t xml:space="preserve">tutorial sobre a actividade de atribuição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).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o Adicionar uma actividade de feedback (pode ser usada como ferramenta para avaliação sumativa, feedback, selecção, etc.) (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7"/>
            <w:szCs w:val="27"/>
            <w:u w:val="single"/>
            <w:rtl w:val="0"/>
          </w:rPr>
          <w:t xml:space="preserve">tutorial sobre a actividade de feedback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).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o Adicionar resultados de aprendizagem utilizados num curso (</w:t>
      </w:r>
      <w:hyperlink r:id="rId10">
        <w:r w:rsidDel="00000000" w:rsidR="00000000" w:rsidRPr="00000000">
          <w:rPr>
            <w:rFonts w:ascii="Calibri" w:cs="Calibri" w:eastAsia="Calibri" w:hAnsi="Calibri"/>
            <w:color w:val="0000ff"/>
            <w:sz w:val="27"/>
            <w:szCs w:val="27"/>
            <w:u w:val="single"/>
            <w:rtl w:val="0"/>
          </w:rPr>
          <w:t xml:space="preserve">tutorial sobre como adicionar resultados de aprendizagem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).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o Activar fórum de discussão (</w:t>
      </w:r>
      <w:hyperlink r:id="rId11">
        <w:r w:rsidDel="00000000" w:rsidR="00000000" w:rsidRPr="00000000">
          <w:rPr>
            <w:rFonts w:ascii="Calibri" w:cs="Calibri" w:eastAsia="Calibri" w:hAnsi="Calibri"/>
            <w:color w:val="0000ff"/>
            <w:sz w:val="27"/>
            <w:szCs w:val="27"/>
            <w:u w:val="single"/>
            <w:rtl w:val="0"/>
          </w:rPr>
          <w:t xml:space="preserve">tutorial sobre a actividade do fórum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).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o Activar o acompanhamento da conclusão da actividade (</w:t>
      </w:r>
      <w:hyperlink r:id="rId12">
        <w:r w:rsidDel="00000000" w:rsidR="00000000" w:rsidRPr="00000000">
          <w:rPr>
            <w:rFonts w:ascii="Calibri" w:cs="Calibri" w:eastAsia="Calibri" w:hAnsi="Calibri"/>
            <w:color w:val="0000ff"/>
            <w:sz w:val="27"/>
            <w:szCs w:val="27"/>
            <w:u w:val="single"/>
            <w:rtl w:val="0"/>
          </w:rPr>
          <w:t xml:space="preserve">tutorial sobre a conclusão da actividade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).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o Associar actividades de aprendizagem com os resultados da aprendizagem (</w:t>
      </w:r>
      <w:hyperlink r:id="rId13">
        <w:r w:rsidDel="00000000" w:rsidR="00000000" w:rsidRPr="00000000">
          <w:rPr>
            <w:rFonts w:ascii="Calibri" w:cs="Calibri" w:eastAsia="Calibri" w:hAnsi="Calibri"/>
            <w:color w:val="0000ff"/>
            <w:sz w:val="27"/>
            <w:szCs w:val="27"/>
            <w:u w:val="single"/>
            <w:rtl w:val="0"/>
          </w:rPr>
          <w:t xml:space="preserve">tutorial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).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o Verificar as oportunidades interactivas de metacognição e reflexão proporcionadas por um AVA (por exemplo, portefólios dos aprendentes).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o Verificar as oportunidades oferecidas pelos fóruns para a prestação de feedback.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o Verificar as diferentes soluções técnicas, bem como as ferramentas de co-criação (por exemplo, wikis) fornecidas por um AVA.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REFERÊNCIAS  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Electronic CSI, A Guide for First Responders, 2nd edition, National Institute of Justice, April 2008. </w:t>
      </w:r>
      <w:hyperlink r:id="rId14">
        <w:r w:rsidDel="00000000" w:rsidR="00000000" w:rsidRPr="00000000">
          <w:rPr>
            <w:rFonts w:ascii="Calibri" w:cs="Calibri" w:eastAsia="Calibri" w:hAnsi="Calibri"/>
            <w:b w:val="1"/>
            <w:rtl w:val="0"/>
          </w:rPr>
          <w:t xml:space="preserve">https://nij.ojp.gov/digital-evidence-and-forensics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Emplit, P. and Zhang, T. (2020).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Evidence-based approaches to learning and teaching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Learning and Teaching Paper #11, Thematic peer group report, EUA. </w:t>
      </w:r>
      <w:hyperlink r:id="rId15">
        <w:r w:rsidDel="00000000" w:rsidR="00000000" w:rsidRPr="00000000">
          <w:rPr>
            <w:rFonts w:ascii="Calibri" w:cs="Calibri" w:eastAsia="Calibri" w:hAnsi="Calibri"/>
            <w:u w:val="single"/>
            <w:rtl w:val="0"/>
          </w:rPr>
          <w:t xml:space="preserve">https://eua.eu/downloads/publications/eua%20report%20evidence-based%20approaches_web.pdf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Griffith, R., Bauml, M., &amp; Quebec-Fuentes, S. (2016). Promoting metacognitive decision-making in teacher education.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Theory into Practice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55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(3), 242–249. </w:t>
      </w:r>
      <w:hyperlink r:id="rId16">
        <w:r w:rsidDel="00000000" w:rsidR="00000000" w:rsidRPr="00000000">
          <w:rPr>
            <w:rFonts w:ascii="Calibri" w:cs="Calibri" w:eastAsia="Calibri" w:hAnsi="Calibri"/>
            <w:rtl w:val="0"/>
          </w:rPr>
          <w:t xml:space="preserve">https://doi.org/10.1080/00405841.2016.1173997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Gosselin, D. (2020). Competencies and learning outcomes. InTerGate. </w:t>
      </w:r>
      <w:hyperlink r:id="rId17">
        <w:r w:rsidDel="00000000" w:rsidR="00000000" w:rsidRPr="00000000">
          <w:rPr>
            <w:rFonts w:ascii="Calibri" w:cs="Calibri" w:eastAsia="Calibri" w:hAnsi="Calibri"/>
            <w:rtl w:val="0"/>
          </w:rPr>
          <w:t xml:space="preserve">https://serc.carleton.edu/integrate/programs/workforceprep/competencies_and_LO.html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Medina, M. S., Castleberry, A. N., &amp; Persky, A. M. (2017). Strategies for improving learner metacognition in health professional education. American Journal of Pharmaceutical Education, 81(4), 1–14. </w:t>
      </w:r>
      <w:hyperlink r:id="rId18">
        <w:r w:rsidDel="00000000" w:rsidR="00000000" w:rsidRPr="00000000">
          <w:rPr>
            <w:rFonts w:ascii="Calibri" w:cs="Calibri" w:eastAsia="Calibri" w:hAnsi="Calibri"/>
            <w:rtl w:val="0"/>
          </w:rPr>
          <w:t xml:space="preserve">https://doi.org/10.5688/ajpe81478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NSW Government and The Learning bar (2022). Teaching strategies. </w:t>
      </w:r>
      <w:hyperlink r:id="rId19">
        <w:r w:rsidDel="00000000" w:rsidR="00000000" w:rsidRPr="00000000">
          <w:rPr>
            <w:rFonts w:ascii="Calibri" w:cs="Calibri" w:eastAsia="Calibri" w:hAnsi="Calibri"/>
            <w:rtl w:val="0"/>
          </w:rPr>
          <w:t xml:space="preserve">https://education.nsw.gov.au/student-wellbeing/tell-them-from-me/accessing-and-using-tell-them-from-me-data/tell-them-from-me-measures/teaching-strategies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Maine, P. (N/A). Teaching and learning strategies: A classroom guide. </w:t>
      </w:r>
      <w:hyperlink r:id="rId20">
        <w:r w:rsidDel="00000000" w:rsidR="00000000" w:rsidRPr="00000000">
          <w:rPr>
            <w:rFonts w:ascii="Calibri" w:cs="Calibri" w:eastAsia="Calibri" w:hAnsi="Calibri"/>
            <w:rtl w:val="0"/>
          </w:rPr>
          <w:t xml:space="preserve">https://www.structural-learning.com/post/teaching-and-learning-strategies-a-classroom-guide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     </w:t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Panadero, E. (2017). A review of self-regulated learning: Six models and four directions for research.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Front.Psychol.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8.</w:t>
      </w:r>
      <w:hyperlink r:id="rId21">
        <w:r w:rsidDel="00000000" w:rsidR="00000000" w:rsidRPr="00000000">
          <w:rPr>
            <w:rFonts w:ascii="Calibri" w:cs="Calibri" w:eastAsia="Calibri" w:hAnsi="Calibri"/>
            <w:rtl w:val="0"/>
          </w:rPr>
          <w:t xml:space="preserve"> https://doi.org/10.3389/fpsyg.2017.00422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Rourke, L., Anderson, T., Archer W., Garrison, D.R. (2001). Assessing social presence in asynchronous, text-based computer conferences. Journal of Distance Education, 14, pp. 51-70</w:t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Zimmerman, B. J. (2000). Attaining self-regulation: A social cognitive perspective. In M. Boekaerts, P. R. Pintrich, &amp; M. Zeidner (Eds.),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Handbook of self-regulation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(pp. 13–39). Academic Press. </w:t>
      </w:r>
      <w:hyperlink r:id="rId22">
        <w:r w:rsidDel="00000000" w:rsidR="00000000" w:rsidRPr="00000000">
          <w:rPr>
            <w:rFonts w:ascii="Calibri" w:cs="Calibri" w:eastAsia="Calibri" w:hAnsi="Calibri"/>
            <w:highlight w:val="white"/>
            <w:rtl w:val="0"/>
          </w:rPr>
          <w:t xml:space="preserve">https://doi.org/10.1016/B978-012109890-2/50031-7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Zimmerman, B. J., &amp; Moylan, A. R. (2009). Self-regulation: Where metacognition and motivation intersect. In D. J. Hacker, J. Dunlosky, &amp; A. C. Graesser (Eds.),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Handbook of metacognition in education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(pp. 299–315). Routledge/Taylor &amp; Francis Group.</w:t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Volungeviciene, A., Tereseviciene, M., &amp; Trepule, E. (2021). Learning Analytics: a Metacognitive Tool to Engage Students. Research study. Sciendo.</w:t>
      </w:r>
      <w:hyperlink r:id="rId23">
        <w:r w:rsidDel="00000000" w:rsidR="00000000" w:rsidRPr="00000000">
          <w:rPr>
            <w:rFonts w:ascii="Calibri" w:cs="Calibri" w:eastAsia="Calibri" w:hAnsi="Calibri"/>
            <w:highlight w:val="white"/>
            <w:rtl w:val="0"/>
          </w:rPr>
          <w:t xml:space="preserve"> https://doi.org/10.2478/9788366675643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24" w:type="default"/>
      <w:footerReference r:id="rId25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114300" distT="114300" distL="114300" distR="114300">
          <wp:extent cx="1063113" cy="190500"/>
          <wp:effectExtent b="0" l="0" r="0" t="0"/>
          <wp:docPr id="4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311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O trabalho Training material "Monitoring, supporting, and engaging students based on the evidence generated by digital technologies" de 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8b1a4a"/>
          <w:sz w:val="20"/>
          <w:szCs w:val="20"/>
          <w:u w:val="single"/>
          <w:rtl w:val="0"/>
        </w:rPr>
        <w:t xml:space="preserve">Maina, M.F., Guàrdia, L., Duart, J.M., Mancini, F., Malerba, M.L., Volungeviciene, A., Tamoliune, G.</w:t>
      </w:r>
    </w:hyperlink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está licenciado com uma Licença </w:t>
    </w:r>
    <w:hyperlink r:id="rId3">
      <w:r w:rsidDel="00000000" w:rsidR="00000000" w:rsidRPr="00000000">
        <w:rPr>
          <w:rFonts w:ascii="Times New Roman" w:cs="Times New Roman" w:eastAsia="Times New Roman" w:hAnsi="Times New Roman"/>
          <w:color w:val="8b1a4a"/>
          <w:sz w:val="20"/>
          <w:szCs w:val="20"/>
          <w:u w:val="single"/>
          <w:rtl w:val="0"/>
        </w:rPr>
        <w:t xml:space="preserve">Creative Commons - Atribuição-CompartilhaIgual 4.0 Internacional</w:t>
      </w:r>
    </w:hyperlink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>
        <w:i w:val="1"/>
        <w:sz w:val="20"/>
        <w:szCs w:val="20"/>
      </w:rPr>
    </w:pPr>
    <w:r w:rsidDel="00000000" w:rsidR="00000000" w:rsidRPr="00000000">
      <w:rPr>
        <w:rtl w:val="0"/>
      </w:rPr>
      <w:t xml:space="preserve">                                                    </w:t>
    </w:r>
    <w:r w:rsidDel="00000000" w:rsidR="00000000" w:rsidRPr="00000000">
      <w:rPr>
        <w:i w:val="1"/>
        <w:sz w:val="20"/>
        <w:szCs w:val="20"/>
        <w:rtl w:val="0"/>
      </w:rPr>
      <w:t xml:space="preserve">Training Material for HE Teachers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3905250</wp:posOffset>
          </wp:positionH>
          <wp:positionV relativeFrom="paragraph">
            <wp:posOffset>28583</wp:posOffset>
          </wp:positionV>
          <wp:extent cx="2033588" cy="430182"/>
          <wp:effectExtent b="0" l="0" r="0" t="0"/>
          <wp:wrapNone/>
          <wp:docPr descr="Graphical user interface&#10;&#10;Description automatically generated with medium confidence" id="47" name="image2.png"/>
          <a:graphic>
            <a:graphicData uri="http://schemas.openxmlformats.org/drawingml/2006/picture">
              <pic:pic>
                <pic:nvPicPr>
                  <pic:cNvPr descr="Graphical user interface&#10;&#10;Description automatically generated with medium confidenc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33588" cy="43018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</wp:posOffset>
          </wp:positionH>
          <wp:positionV relativeFrom="paragraph">
            <wp:posOffset>28580</wp:posOffset>
          </wp:positionV>
          <wp:extent cx="1446609" cy="428625"/>
          <wp:effectExtent b="0" l="0" r="0" t="0"/>
          <wp:wrapNone/>
          <wp:docPr id="4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6609" cy="428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                                                                      UOC_VMU</w:t>
    </w:r>
  </w:p>
  <w:p w:rsidR="00000000" w:rsidDel="00000000" w:rsidP="00000000" w:rsidRDefault="00000000" w:rsidRPr="00000000" w14:paraId="00000039">
    <w:pPr>
      <w:rPr>
        <w:i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rPr>
        <w:i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5A05F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A05FC"/>
  </w:style>
  <w:style w:type="paragraph" w:styleId="Footer">
    <w:name w:val="footer"/>
    <w:basedOn w:val="Normal"/>
    <w:link w:val="FooterChar"/>
    <w:uiPriority w:val="99"/>
    <w:unhideWhenUsed w:val="1"/>
    <w:rsid w:val="005A05F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A05FC"/>
  </w:style>
  <w:style w:type="character" w:styleId="apple-converted-space" w:customStyle="1">
    <w:name w:val="apple-converted-space"/>
    <w:basedOn w:val="DefaultParagraphFont"/>
    <w:rsid w:val="005A05FC"/>
  </w:style>
  <w:style w:type="character" w:styleId="Hyperlink">
    <w:name w:val="Hyperlink"/>
    <w:basedOn w:val="DefaultParagraphFont"/>
    <w:uiPriority w:val="99"/>
    <w:unhideWhenUsed w:val="1"/>
    <w:rsid w:val="005A05F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915A7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A915A7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structural-learning.com/post/teaching-and-learning-strategies-a-classroom-guide" TargetMode="External"/><Relationship Id="rId22" Type="http://schemas.openxmlformats.org/officeDocument/2006/relationships/hyperlink" Target="https://psycnet.apa.org/doi/10.1016/B978-012109890-2/50031-7" TargetMode="External"/><Relationship Id="rId21" Type="http://schemas.openxmlformats.org/officeDocument/2006/relationships/hyperlink" Target="https://doi.org/10.3389/fpsyg.2017.00422" TargetMode="External"/><Relationship Id="rId24" Type="http://schemas.openxmlformats.org/officeDocument/2006/relationships/header" Target="header1.xml"/><Relationship Id="rId23" Type="http://schemas.openxmlformats.org/officeDocument/2006/relationships/hyperlink" Target="https://doi.org/10.2478/978836667564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moodle.org/400/en/Assignment_activity" TargetMode="External"/><Relationship Id="rId25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hyperlink" Target="https://docs.moodle.org/400/en/Assignment_activity" TargetMode="External"/><Relationship Id="rId11" Type="http://schemas.openxmlformats.org/officeDocument/2006/relationships/hyperlink" Target="https://docs.moodle.org/400/en/Forum_activity" TargetMode="External"/><Relationship Id="rId10" Type="http://schemas.openxmlformats.org/officeDocument/2006/relationships/hyperlink" Target="https://docs.moodle.org/400/en/Outcomes" TargetMode="External"/><Relationship Id="rId13" Type="http://schemas.openxmlformats.org/officeDocument/2006/relationships/hyperlink" Target="https://www.youtube.com/watch?v=LCYbjmqyLbg" TargetMode="External"/><Relationship Id="rId12" Type="http://schemas.openxmlformats.org/officeDocument/2006/relationships/hyperlink" Target="https://docs.moodle.org/311/en/Tracking_progress#Activity_completion" TargetMode="External"/><Relationship Id="rId15" Type="http://schemas.openxmlformats.org/officeDocument/2006/relationships/hyperlink" Target="https://eua.eu/downloads/publications/eua%20report%20evidence-based%20approaches_web.pdf" TargetMode="External"/><Relationship Id="rId14" Type="http://schemas.openxmlformats.org/officeDocument/2006/relationships/hyperlink" Target="https://nij.ojp.gov/digital-evidence-and-forensics" TargetMode="External"/><Relationship Id="rId17" Type="http://schemas.openxmlformats.org/officeDocument/2006/relationships/hyperlink" Target="https://serc.carleton.edu/integrate/programs/workforceprep/competencies_and_LO.html" TargetMode="External"/><Relationship Id="rId16" Type="http://schemas.openxmlformats.org/officeDocument/2006/relationships/hyperlink" Target="https://doi.org/10.1080/00405841.2016.1173997" TargetMode="External"/><Relationship Id="rId19" Type="http://schemas.openxmlformats.org/officeDocument/2006/relationships/hyperlink" Target="https://education.nsw.gov.au/student-wellbeing/tell-them-from-me/accessing-and-using-tell-them-from-me-data/tell-them-from-me-measures/teaching-strategies" TargetMode="External"/><Relationship Id="rId18" Type="http://schemas.openxmlformats.org/officeDocument/2006/relationships/hyperlink" Target="https://doi.org/10.5688/ajpe81478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teacamp.vdu.lt/course/view.php?id=101" TargetMode="External"/><Relationship Id="rId3" Type="http://schemas.openxmlformats.org/officeDocument/2006/relationships/hyperlink" Target="http://creativecommons.org/licenses/by-sa/4.0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9Jo56XYTWiS+lglT4GymxQ6lDg==">CgMxLjA4AHIhMWJ6ZWRuZWVwWXR0aGRfZ2p4Q0hBMklyVzlDVHYzcG43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2023-02-04T15:42:00Z</dcterms:created>
  <dc:creator>António Moreira</dc:creator>
</cp:coreProperties>
</file>