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NARZĘDZIE DO SAMOKONTROLI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samodzielnie zastanowić się, w jaki sposób jesteś przygotowany do monitorowania, wspierania i angażowania uczniów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Skorzystaj ze strategii dostarczonych przez Materiały szkoleniowe, aby zaprojektować i wdrożyć działanie edukacyjne w ramach kursu: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zaprojektuj kurs, aby generować dane oparte na dowodach i wspierać samoregulujące się uczenie się (decyzje techniczne dotyczące tego, jakich narzędzi użyć, jakie działania zaplanować i tak dalej).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Podpowiedzi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Zdecyduję, jakie dane są ważne do zebrania i monitorowania w celu dokonania świadomych interwencji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Dołączę oświadczenie informujące uczniów, że dane będą gromadzone i monitorowane oraz wyjaśnię cel gromadzenia danych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Dokonam dokładnej rewizji elementów kursu, wybiorę zasoby, które będą monitorowane i wskażę ich ustawienia ukończenia aktywności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Zaprojektuję i włączę działania, które generują dowody postępów i zaangażowania uczniów, aby dostosować projekt uczenia się i podejmować świadome decyzje przy użyciu odpowiednich narzędzi i strategii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Zamieszczę aktywność na forum, aby zaangażować uczniów i skonfigurować jej ustawienia do monitorowania uczestnictwa uczniów w aktywności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Skonfiguruję zadania edukacyjne i połączę je z efektami uczenia się, aby zebrać dane na temat postępów uczniów w osiąganiu efektów uczenia się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Zaprojektuję zajęcia edukacyjne, które ułatwią uczniom postrzeganie ich roli i samooceny bycia uczniem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Zaprojektuję zajęcia edukacyjne i osadzę narzędzia, które pomogą uczniom zaplanować naukę i zastanowić się nad nią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Zaprojektuję działania edukacyjne w celu promowania krytycznego myślenia, osobistego zainteresowania i oryginalnego zrozumienia oraz wykorzystam narzędzia do wspierania tych działań i gromadzenia danych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Opracuję quizy samooceny dla uczniów podczas całego kursu, aby zebrać dane na temat ich nauki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Opracuję szybkie, oparte na narzędziach działania informacyjne, aby zebrać dane na temat projektowania uczenia się i zaangażowania uczniów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Zaprojektuję i dostosuję pulpit nawigacyjny LA zgodnie z kontekstem i celami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potrzebujesz więcej informacji, sprawdź Wprowadzenie koncepcyjne i Dział 1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monitorowanie i analizowanie danych opartych na dowodach w celu wspierania i angażowania uczniów oraz wspierania samoregulacji.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Podpowiedzi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Zdecyduję, które dane dotyczące aktywności i postępów uczniów są ważne i istotne dla monitorowania i analizy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Wykorzystam raport z ukończenia zajęć w środku kursu, aby sprawdzić postępy i zaangażowanie uczniów w elementy uczenia się oraz czy są uczniowie, którzy mają trudności. Zgodnie z tymi danymi wyślę e-mail, omówię lub dodam temat dyskusji, aby podzielić się obawami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Na koniec kursu wykorzystam raport z ukończenia zajęć, aby sprawdzić ogólną sytuację ukończenia zajęć i zaangażowanie uczniów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Przeanalizuję raporty z ukończenia zajęć i uczestnictwa w kursie, aby uzyskać więcej danych o zagrożonych uczniach. Wiedząc o ich interakcji z konkretnymi elementami uczenia się, loginami i sytuacją składania zleceń, podejmę świadomą decyzję o skontaktowaniu się z koordynatorem programu studiów i wyślę uczniom wiadomość o pojawiających się zagrożeniach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Będę zachęcać uczniów do angażowania się w fora dyskusyjne, zadając im pytania stymulujące ich krytyczne myślenie i będę monitorować dane dotyczące ich zaangażowania w konkretne pytania dyskusyjne.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Przekażę uczniom informacje zwrotne na temat ich zaangażowania i wyników w kursie oraz zachęcę ich do zastanowienia się i podzielenia się tym, jak postrzegają własną naukę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Przeanalizuję dane wygenerowane przez narzędzia informacji zwrotnej, zastanowię się nad nimi i podejmę świadome decyzje dotyczące tego, co należy poprawić w trakcie kursu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Przeanalizuję dane z quizu, aby dowiedzieć się, czy było wystarczająco dużo czasu na wypełnienie quizu, jakie pytania zajmowały najwięcej czasu i na jakie pytania uczniowie nie odpowiedzieli. Po krytycznej analizie tych wyników wprowadzę ulepszenia w treści kursu quizu.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76" w:lineRule="auto"/>
        <w:ind w:left="992" w:hanging="360"/>
        <w:jc w:val="both"/>
        <w:rPr/>
      </w:pPr>
      <w:r w:rsidDel="00000000" w:rsidR="00000000" w:rsidRPr="00000000">
        <w:rPr>
          <w:rtl w:val="0"/>
        </w:rPr>
        <w:t xml:space="preserve">Aby wyciągnąć bardziej obiektywne wnioski na temat konkretnej sytuacji lub analizowanego problemu, często warto przejrzeć i przeanalizować dane generowane przez różne raporty i zinterpretować je w szerszym kontekście.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potrzebujesz więcej informacji, sprawdź Wprowadzenie koncepcyjne i Jednostki 2 i 3.</w:t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063113" cy="1905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3">
      <w:r w:rsidDel="00000000" w:rsidR="00000000" w:rsidRPr="00000000">
        <w:rPr>
          <w:color w:val="8b1a4a"/>
          <w:sz w:val="20"/>
          <w:szCs w:val="20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is licensed under a</w:t>
    </w:r>
    <w:hyperlink r:id="rId4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5">
      <w:r w:rsidDel="00000000" w:rsidR="00000000" w:rsidRPr="00000000">
        <w:rPr>
          <w:color w:val="8b1a4a"/>
          <w:sz w:val="20"/>
          <w:szCs w:val="20"/>
          <w:rtl w:val="0"/>
        </w:rPr>
        <w:t xml:space="preserve">Creative Commons Uznanie autorstwa-Na tych samych warunkach 4.0 Międzynarodowe License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i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28580</wp:posOffset>
          </wp:positionV>
          <wp:extent cx="2033588" cy="430182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m                                                                UOC_VMU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</w:t>
    </w:r>
  </w:p>
  <w:p w:rsidR="00000000" w:rsidDel="00000000" w:rsidP="00000000" w:rsidRDefault="00000000" w:rsidRPr="00000000" w14:paraId="00000027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mmmmmmmmmmmmmmm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DB24DF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</w:rPr>
  </w:style>
  <w:style w:type="paragraph" w:styleId="Nagwek">
    <w:name w:val="header"/>
    <w:basedOn w:val="Normalny"/>
    <w:link w:val="Nagwek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21E87"/>
  </w:style>
  <w:style w:type="paragraph" w:styleId="Stopka">
    <w:name w:val="footer"/>
    <w:basedOn w:val="Normalny"/>
    <w:link w:val="Stopka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1E87"/>
  </w:style>
  <w:style w:type="paragraph" w:styleId="Akapitzlist">
    <w:name w:val="List Paragraph"/>
    <w:basedOn w:val="Normalny"/>
    <w:uiPriority w:val="34"/>
    <w:qFormat w:val="1"/>
    <w:rsid w:val="00420F85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420F85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420F85"/>
  </w:style>
  <w:style w:type="character" w:styleId="ref-lnk" w:customStyle="1">
    <w:name w:val="ref-lnk"/>
    <w:basedOn w:val="Domylnaczcionkaakapitu"/>
    <w:rsid w:val="00721C9E"/>
  </w:style>
  <w:style w:type="character" w:styleId="singlehighlightclass" w:customStyle="1">
    <w:name w:val="single_highlight_class"/>
    <w:basedOn w:val="Domylnaczcionkaakapitu"/>
    <w:rsid w:val="00721C9E"/>
  </w:style>
  <w:style w:type="character" w:styleId="searchnone" w:customStyle="1">
    <w:name w:val="searchnone"/>
    <w:basedOn w:val="Domylnaczcionkaakapitu"/>
    <w:rsid w:val="0039043D"/>
  </w:style>
  <w:style w:type="paragraph" w:styleId="NormalnyWeb">
    <w:name w:val="Normal (Web)"/>
    <w:basedOn w:val="Normalny"/>
    <w:uiPriority w:val="99"/>
    <w:unhideWhenUsed w:val="1"/>
    <w:rsid w:val="0090673B"/>
    <w:pPr>
      <w:spacing w:after="100" w:afterAutospacing="1" w:before="100" w:beforeAutospacing="1"/>
    </w:pPr>
  </w:style>
  <w:style w:type="character" w:styleId="apple-tab-span" w:customStyle="1">
    <w:name w:val="apple-tab-span"/>
    <w:basedOn w:val="Domylnaczcionkaakapitu"/>
    <w:rsid w:val="0090673B"/>
  </w:style>
  <w:style w:type="paragraph" w:styleId="Poprawka">
    <w:name w:val="Revision"/>
    <w:hidden w:val="1"/>
    <w:uiPriority w:val="99"/>
    <w:semiHidden w:val="1"/>
    <w:rsid w:val="003C3E23"/>
  </w:style>
  <w:style w:type="paragraph" w:styleId="P68B1DB1-Normalny1" w:customStyle="1">
    <w:name w:val="P68B1DB1-Normalny1"/>
    <w:basedOn w:val="Normalny"/>
    <w:rPr>
      <w:b w:val="1"/>
    </w:rPr>
  </w:style>
  <w:style w:type="paragraph" w:styleId="P68B1DB1-Normalny2" w:customStyle="1">
    <w:name w:val="P68B1DB1-Normalny2"/>
    <w:basedOn w:val="Normalny"/>
    <w:rPr>
      <w:b w:val="1"/>
      <w:i w:val="1"/>
    </w:rPr>
  </w:style>
  <w:style w:type="paragraph" w:styleId="P68B1DB1-Normalny3" w:customStyle="1">
    <w:name w:val="P68B1DB1-Normalny3"/>
    <w:basedOn w:val="Normalny"/>
    <w:rPr>
      <w:i w:val="1"/>
    </w:rPr>
  </w:style>
  <w:style w:type="paragraph" w:styleId="P68B1DB1-Normalny4" w:customStyle="1">
    <w:name w:val="P68B1DB1-Normalny4"/>
    <w:basedOn w:val="Normalny"/>
    <w:rPr>
      <w:color w:val="000000"/>
    </w:rPr>
  </w:style>
  <w:style w:type="paragraph" w:styleId="P68B1DB1-Normalny5" w:customStyle="1">
    <w:name w:val="P68B1DB1-Normalny5"/>
    <w:basedOn w:val="Normalny"/>
    <w:rPr>
      <w:i w:val="1"/>
      <w:sz w:val="20"/>
    </w:rPr>
  </w:style>
  <w:style w:type="paragraph" w:styleId="P68B1DB1-Normalny6" w:customStyle="1">
    <w:name w:val="P68B1DB1-Normalny6"/>
    <w:basedOn w:val="Normalny"/>
    <w:rPr>
      <w:rFonts w:ascii="Times" w:cs="Times" w:eastAsia="Times" w:hAnsi="Times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99" TargetMode="External"/><Relationship Id="rId3" Type="http://schemas.openxmlformats.org/officeDocument/2006/relationships/hyperlink" Target="https://teacamp.vdu.lt/course/view.php?id=99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qrhb0e8sKJUBVWTEK/XSahFzDg==">CgMxLjAyCGguZ2pkZ3hzOAByITExaFlXMThoWUpCNDRZLVdGV2hseTYzUDBSMkJjSFRZMQ==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2023-02-12T17:34:00Z</dcterms:created>
  <dc:creator>US</dc:creator>
</cp:coreProperties>
</file>