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ecuqsq1vmt45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Unit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Wspieranie i angażowanie uczniów poprzez dane oparte na dowodach. FAZA AUTOREFLEKSJI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sz w:val="40"/>
          <w:szCs w:val="40"/>
        </w:rPr>
      </w:pPr>
      <w:bookmarkStart w:colFirst="0" w:colLast="0" w:name="_heading=h.lxi3lctbkk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WSTĘP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-914395</wp:posOffset>
            </wp:positionH>
            <wp:positionV relativeFrom="paragraph">
              <wp:posOffset>464892</wp:posOffset>
            </wp:positionV>
            <wp:extent cx="7739063" cy="3343275"/>
            <wp:effectExtent b="0" l="0" r="0" t="0"/>
            <wp:wrapSquare wrapText="bothSides" distB="114300" distT="114300" distL="114300" distR="114300"/>
            <wp:docPr id="5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9063" cy="3343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1"/>
        <w:keepLines w:val="1"/>
        <w:spacing w:after="240" w:before="240" w:line="360" w:lineRule="auto"/>
        <w:jc w:val="both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Zaangażowanie uczniów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promowane poprzez aktywne uczenie się zarówno w środowisku offline, jak i online. Oznacza to, że uczniowie są aktywnie zaangażowani w przydzielone zadania, współpracują z rówieśnikami i dostarczają zadania na czas. Uczenie się strategii projektowania w celu zwiększenia zaangażowania uczniów obejmuje między innymi sesje pytań i odpowiedzi, wzajemną ocenę i opinie, dyskusję, szybkie pytania, interaktywne wykłady (w których uczniowie odpowiadają na pytania lub zadają pytania), szybkie zadania pisania, praktyczne zajęcia i uczenie się przez doświadczenie. 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projektowania kursu ważne jest, aby pomyśleć o strategiach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wsparcia dla studentów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Na przykład uczniowie powinni otrzymywać informacje zwrotne na temat postępów w nauce, mieć możliwość zadawania pytań na forum dyskusyjnym i zapoznania się z ogólną strukturą kursu. Struktura kursu powinna wyraźnie pokazywać zasoby edukacyjne i działania, aby uczniowie mogli śledzić swoje postępy. Ponadto, gdy uczniowie proszeni są o przekazanie informacji zwrotnej na oddzielne tematy, materiały edukacyjne, zadania lub cały kurs, nie tylko dostarczają cennych informacji do poprawy, ale także czują się bardziej zaangażowani w kurs.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związku z tym nauczyciele są zachęcani do projektowania i integrowania działań na różnych etapach kursu, aby mogli gromadzić dane na temat zaangażowania swoich uczniów (patrz rozdział 2). Zgodnie z zebranymi danymi nauczyciele zastanawiają się, dlaczego uczniowie wolą jeden zasób edukacyjny od drugiego. W jaki sposób te informacje mogą pomóc w nauczaniu i uczeniu się? Jakiego rodzaju interwencje mogą być potrzebne, aby zapewnić wsparcie edukacyjne i zwiększyć zaangażowanie uczniów?</w:t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Według DigCompEdu Framework (Redecker, 2017) aktywne angażowanie uczniów oznacza: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Wykorzystanie technologii cyfrowych w celu wspierania aktywnego i twórczego zaangażowania uczniów w dany temat.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Wykorzystanie technologii cyfrowych w ramach strategii pedagogicznych, które wspierają umiejętności przekrojowe uczniów, głębokie myślenie i kreatywną ekspresję.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otworzyć uczenie się na nowe, rzeczywiste konteksty, które angażują uczniów w praktyczne działania, badania naukowe lub złożone rozwiązywanie problemów, lub w inny sposób zwiększają aktywne zaangażowanie uczniów w złożone tematy.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Chociaż istnieją różne rodzaje wsparcia, które są ważne dla osób uczących się online, w tym materiale szkoleniowym skupimy się na elementach, które nauczyciel może wstępnie zaprojektować i zintegrować z kursem, biorąc pod uwagę VLE, analizę uczenia się i znaczenie dla uczniów w celu zwiększenia ich umiejętności SRL. </w:t>
      </w:r>
    </w:p>
    <w:p w:rsidR="00000000" w:rsidDel="00000000" w:rsidP="00000000" w:rsidRDefault="00000000" w:rsidRPr="00000000" w14:paraId="0000000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o3tb5jpbpju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Tematy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Jak wspierać zaangażowanie uczniów?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Jak zwiększyć zaangażowanie uczniów poprzez konfigurowalne pulpity nawigacyjne?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36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oxnzv6t7xfpf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Wyniki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Wykorzystanie technologii cyfrowych do wizualizacji i wyjaśnienia nowych koncepcji w sposób motywujący i angażujący, np. poprzez wykorzystanie animacji lub filmów.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Wykorzystywanie cyfrowych środowisk edukacyjnych lub działań motywujących i angażujących, np. gier, quizów.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Umieszczenie aktywnego korzystania przez uczniów z technologii cyfrowych w centrum procesu instruktażowego.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Wykorzystanie technologii cyfrowych, aby umożliwić uczniom aktywne angażowanie się w omawiany temat, np. za pomocą różnych zmysłów, manipulowania obiektami wirtualnymi, różnicowania problemu skonfigurowanego do badania jego struktury itp.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Wybór odpowiednich technologii cyfrowych w celu wspierania aktywnego uczenia się w danym kontekście uczenia się lub dla określonego celu uczenia się.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Aby zastanowić się, jak odpowiednie są różne technologie cyfrowe stosowane w zwiększaniu aktywnego uczenia się uczniów i odpowiednio dostosowywać strategie i wybory.</w:t>
      </w:r>
    </w:p>
    <w:p w:rsidR="00000000" w:rsidDel="00000000" w:rsidP="00000000" w:rsidRDefault="00000000" w:rsidRPr="00000000" w14:paraId="0000001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sz w:val="32"/>
          <w:szCs w:val="32"/>
        </w:rPr>
      </w:pPr>
      <w:bookmarkStart w:colFirst="0" w:colLast="0" w:name="_heading=h.5z3s10addjrc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36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z7cziyh48jpm" w:id="5"/>
      <w:bookmarkEnd w:id="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Definicje (słowniczek Moodle 'a)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Według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b5394"/>
            <w:sz w:val="24"/>
            <w:szCs w:val="24"/>
            <w:u w:val="none"/>
            <w:shd w:fill="auto" w:val="clear"/>
            <w:vertAlign w:val="baseline"/>
            <w:rtl w:val="0"/>
          </w:rPr>
          <w:t xml:space="preserve">The Glossary of Education Reform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zaangażowanie uczniów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„odnosi się do stopnia uwagi, ciekawości, zainteresowania, optymizmu i pasji, które uczniowie wykazują, gdy się uczą lub są nauczani, co rozciąga się na poziom motywacji, której muszą się nauczyć i postępy w edukacji”. Definicja ta nie dotyczy tylko uczniów, ale także dyrektorów szkół, nauczycieli i innych czynników zewnętrznych, które mogą „angażować” uczniów w projektowanie i proces decyzyjny dotyczący ich uczenia się. Zaangażowanie uczniów dotyczy relacji między czasem a wysiłkiem, który został zainwestowany w optymalizację doświadczenia edukacyjnego. Zaangażowanie można znaleźć w zachowaniach, procesach myślenia i oznakach emocji. Innymi słowy, zaangażowanie jest postrzegane jako wymiar behawioralny, poznawczy i emocjonalny.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Learning Analytics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    Dashboards są ważnym podzbiorem analityki uczenia się i odnoszą się do wizualnej reprezentacji danych automatycznie generowanych przez system.narzędzia do wizualizacji wyświetlające i przedstawiające informacje w sposób przyjazny dla użytkownika oraz dostarczające „znaczących i praktycznych spostrzeżeń na pierwszy rzut oka” (Pokhrel &amp; Awasthi, 2021:93).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121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Zaangażowanie społeczne: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wiedza dyscyplinarna i umiejętności myślenia wyższego rzędu, motywacja, poczucie przynależności i dobrego samopoczucia, poprawa relacji poprzez wzajemne uczenie się i współpracę.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ytnumcjw5jb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STRATEGIE I ZALECENIA DOTYCZĄCE WSPIERANIA I ANGAŻOWANIA UCZNIÓW</w:t>
      </w:r>
    </w:p>
    <w:p w:rsidR="00000000" w:rsidDel="00000000" w:rsidP="00000000" w:rsidRDefault="00000000" w:rsidRPr="00000000" w14:paraId="00000021">
      <w:pPr>
        <w:spacing w:after="240" w:before="240" w:lineRule="auto"/>
        <w:ind w:left="10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Pedagogiczny  punkt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widzenia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 oczekiwania dotyczące zaangażowania uczniów na samym początku kursu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Upewnij się, że zasoby edukacyjne i działania są przedstawione w jasny, uporządkowany sposób i że uczniowie mogą je łatwo znaleźć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Przejrzyj strukturę kursu w VLE, aby sprawdzić, czy pokazuje ścieżkę uczenia się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Zachęcaj do interakcji w czasie rzeczywistym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Zapewnij odpowiednią liczbę elementów zawartości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to możliwe, podaj krótki opis zasobów i działań, z którymi powinni się zaangażować i dlaczego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Szybkie przekazywanie informacji zwrotnych na temat zadań i/lub postępów w nauce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Poproś uczniów o informacje zwrotne na temat zasobów edukacyjnych, zajęć lub kursu, aby w razie potrzeby zapewnić terminowe podejmowanie decyzji lub zmianę projektu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obecności nauczyciela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Zdecyduj, jakie dane dotyczące zaangażowania uczniów mogą być ważne w celu uzyskania dostępu i analizy w razie potrzeby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 dane dotyczące procesu nauczania i uczenia się oraz podejmuj świadome decyzje dotyczące tego, jakie zmiany należy wprowadzić</w:t>
      </w:r>
    </w:p>
    <w:p w:rsidR="00000000" w:rsidDel="00000000" w:rsidP="00000000" w:rsidRDefault="00000000" w:rsidRPr="00000000" w14:paraId="0000002D">
      <w:pPr>
        <w:spacing w:after="240" w:before="240" w:lineRule="auto"/>
        <w:ind w:left="108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Techniczny punkt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widzenia </w:t>
      </w:r>
      <w:r w:rsidDel="00000000" w:rsidR="00000000" w:rsidRPr="00000000">
        <w:rPr>
          <w:rtl w:val="0"/>
        </w:rPr>
        <w:t xml:space="preserve">   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Korzystanie z konfigurowalnych pulpitów nawigacyjnych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Połącz działania edukacyjne z efektami uczenia się, aby uczniowie mogli być świadomi swoich postępów w nauce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Pytania otwarte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Sprzyjanie korzystaniu z forów dyskusyjnych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21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Poznaj ceny VLE związane z SRL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WIDEO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24"/>
          <w:szCs w:val="24"/>
          <w:u w:val="none"/>
          <w:shd w:fill="auto" w:val="clear"/>
          <w:vertAlign w:val="baseline"/>
          <w:rtl w:val="0"/>
        </w:rPr>
        <w:t xml:space="preserve">Angażowanie uczniów w VLE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(opcjonalnie) </w:t>
      </w:r>
    </w:p>
    <w:p w:rsidR="00000000" w:rsidDel="00000000" w:rsidP="00000000" w:rsidRDefault="00000000" w:rsidRPr="00000000" w14:paraId="00000035">
      <w:pPr>
        <w:widowControl w:val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Betts, S.; Simons, S.; Liogier, V. (2020). Angażowanie uczniów w VLES. 25 marca 2020 r., ETFOUNDATION.CO.UK/EDTECH). (YouTube) Webinar.</w:t>
      </w:r>
    </w:p>
    <w:p w:rsidR="00000000" w:rsidDel="00000000" w:rsidP="00000000" w:rsidRDefault="00000000" w:rsidRPr="00000000" w14:paraId="00000037">
      <w:pPr>
        <w:widowControl w:val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Jest to 1-godzinne webinarium, którego głównym celem jest wsparcie praktyków w korzystaniu z narzędzi VLE w celu zaangażowania uczniów online. Webinarium wprowadza narzędzia i podejścia pedagogiczne do motywowania uczniów, zajmuje się Enhance Digital teaching Platform i modułami wspierającymi, zajmuje się również procesem odznakowania i zgłoszeniami. Niektóre z tych tematów nie są obecne w tych materiałach edukacyjnych. Jednak to opcjonalne webinarium jest dobrym sposobem na zwiększenie wiedzy na temat zaangażowania online i VLE.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48dd4"/>
          <w:sz w:val="40"/>
          <w:szCs w:val="40"/>
          <w:u w:val="singl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https://www.youtube.com/watch?v=CJ8qBKC5QP4&amp;t=1s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360" w:lineRule="auto"/>
        <w:jc w:val="both"/>
        <w:rPr>
          <w:sz w:val="28"/>
          <w:szCs w:val="28"/>
        </w:rPr>
      </w:pPr>
      <w:bookmarkStart w:colFirst="0" w:colLast="0" w:name="_heading=h.365xj3v171n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r7u8nafcelru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MATERIAŁY DO DALSZEJ LEKTURY (OPCJONALNIE)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Halverson, L. R. i Graham, C. R. (2019). Zaangażowanie uczniów w mieszane środowiska uczenia się: ramy koncepcyjne.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Online Learning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23, 145-178.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https://doi.org/10.24059/olj.v23i2.1481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Herodotou, C.; Sharples, M.; Gaved, M.; Kukulska-Hulme, A.; Rienties, B.; Scanlon, E. i Whitelock, D. (2019). Innowacyjne pedagogiki przyszłości: wybór oparty na dowodach.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Przód. Educ.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4:113. </w:t>
      </w:r>
      <w:hyperlink r:id="rId12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https://doi.org/10.3389/feduc.2019.00113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Jivet, I.; Wong, J.; Scheffel, M.; Valle Torre, M.; Specht, M. i Drachsler, H. (2021).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Quantum of Choice: W jaki sposób decyzje uczniów dotyczące monitorowania informacji zwrotnych, cele i samoregulujące umiejętności uczenia się są powiązane.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LAK21: 11th International Learning Analytics and Knowledge Conference (LAK21), 12–16 kwietnia 2021 r., Irvine, Kalifornia, USA. ACM, Nowy Jork, NY, USA, 12 stron.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https://doi.org/10.1145/3448139.3448179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24"/>
          <w:szCs w:val="24"/>
          <w:u w:val="singl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https://repository.tudelft.nl/islandora/object/uuid%3Ae89174ea-eb89-4a2a-a5a0-8bd1e30359cd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Naujokaitienė, J. &amp; Tamoliune, G. &amp; Volungeviciene, A. &amp; Duart, J. (2020). Wykorzystanie analityki uczenia się do angażowania uczniów: poprawa praktyk nauczania poprzez świadome interakcje.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Journal of New Approaches w badaniach edukacyjnych.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9 (2). </w:t>
      </w:r>
      <w:r w:rsidDel="00000000" w:rsidR="00000000" w:rsidRPr="00000000">
        <w:rPr>
          <w:rtl w:val="0"/>
        </w:rPr>
        <w:t xml:space="preserve">     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https://doi.org/10.7821/naer.2020.7.561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Pokhrel, J. &amp; Awasthi, A. (2021). Efektywność Dashboardu i Projektowania Interwencji. W Sahin, M. &amp; Ifenthaler, D. (red.),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Visualizations and Dashboards for Learning Analytics, Advances in Analytics for Learning and Teaching.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Rozdział 5, s. 93-116. Źródło: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https://link.springer.com/chapter/10.1007/978-3-030-81222-5_5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Redecker, C.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(2017).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European Framework for the Digital Competence of Educators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Punie, Y. (red.). EUR 28775 EN. Urząd Publikacji Unii Europejskiej, Luksemburg. Pobrane z: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https://op.europa.eu/pl/publication-detail/-/publication/fcc33b68-d581-11e7-a5b9-01aa75ed71a1/language-en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Rets, I., Herodotou, C., Bayer, V.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 in.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(2021). Badanie krytycznych czynników postrzeganej przydatności pulpitu analityki uczenia się dla studentów uniwersytetów na odległość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Int J Educ Technol High Educ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18: 46. </w:t>
      </w:r>
      <w:r w:rsidDel="00000000" w:rsidR="00000000" w:rsidRPr="00000000">
        <w:rPr>
          <w:rtl w:val="0"/>
        </w:rPr>
        <w:t xml:space="preserve">    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https://doi.org/10.1186/s41239-021-00284-9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headerReference r:id="rId19" w:type="default"/>
      <w:footerReference r:id="rId20" w:type="default"/>
      <w:footerReference r:id="rId2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rPr/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3">
      <w:r w:rsidDel="00000000" w:rsidR="00000000" w:rsidRPr="00000000">
        <w:rPr>
          <w:color w:val="8b1a4a"/>
          <w:sz w:val="20"/>
          <w:szCs w:val="20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is licensed under a</w:t>
    </w:r>
    <w:hyperlink r:id="rId4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5">
      <w:r w:rsidDel="00000000" w:rsidR="00000000" w:rsidRPr="00000000">
        <w:rPr>
          <w:color w:val="8b1a4a"/>
          <w:sz w:val="20"/>
          <w:szCs w:val="20"/>
          <w:rtl w:val="0"/>
        </w:rPr>
        <w:t xml:space="preserve">Creative Commons Uznanie autorstwa-Na tych samych warunkach 4.0 Międzynarodowe License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28585</wp:posOffset>
          </wp:positionV>
          <wp:extent cx="2033588" cy="430182"/>
          <wp:effectExtent b="0" l="0" r="0" t="0"/>
          <wp:wrapNone/>
          <wp:docPr id="5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28582</wp:posOffset>
          </wp:positionV>
          <wp:extent cx="1446609" cy="428625"/>
          <wp:effectExtent b="0" l="0" r="0" t="0"/>
          <wp:wrapNone/>
          <wp:docPr id="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UOC_VMU</w:t>
    </w:r>
  </w:p>
  <w:p w:rsidR="00000000" w:rsidDel="00000000" w:rsidP="00000000" w:rsidRDefault="00000000" w:rsidRPr="00000000" w14:paraId="0000004F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  <w:rsid w:val="00DB24DF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spacing w:after="320"/>
    </w:pPr>
    <w:rPr>
      <w:color w:val="666666"/>
      <w:sz w:val="30"/>
    </w:rPr>
  </w:style>
  <w:style w:type="paragraph" w:styleId="Nagwek">
    <w:name w:val="header"/>
    <w:basedOn w:val="Normalny"/>
    <w:link w:val="Nagwek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21E87"/>
  </w:style>
  <w:style w:type="paragraph" w:styleId="Stopka">
    <w:name w:val="footer"/>
    <w:basedOn w:val="Normalny"/>
    <w:link w:val="StopkaZnak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1E87"/>
  </w:style>
  <w:style w:type="paragraph" w:styleId="Akapitzlist">
    <w:name w:val="List Paragraph"/>
    <w:basedOn w:val="Normalny"/>
    <w:uiPriority w:val="34"/>
    <w:qFormat w:val="1"/>
    <w:rsid w:val="00420F85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420F85"/>
    <w:rPr>
      <w:color w:val="0000ff"/>
      <w:u w:val="single"/>
    </w:rPr>
  </w:style>
  <w:style w:type="character" w:styleId="Numerstrony">
    <w:name w:val="page number"/>
    <w:basedOn w:val="Domylnaczcionkaakapitu"/>
    <w:uiPriority w:val="99"/>
    <w:semiHidden w:val="1"/>
    <w:unhideWhenUsed w:val="1"/>
    <w:rsid w:val="00420F85"/>
  </w:style>
  <w:style w:type="character" w:styleId="ref-lnk" w:customStyle="1">
    <w:name w:val="ref-lnk"/>
    <w:basedOn w:val="Domylnaczcionkaakapitu"/>
    <w:rsid w:val="00721C9E"/>
  </w:style>
  <w:style w:type="character" w:styleId="singlehighlightclass" w:customStyle="1">
    <w:name w:val="single_highlight_class"/>
    <w:basedOn w:val="Domylnaczcionkaakapitu"/>
    <w:rsid w:val="00721C9E"/>
  </w:style>
  <w:style w:type="character" w:styleId="searchnone" w:customStyle="1">
    <w:name w:val="searchnone"/>
    <w:basedOn w:val="Domylnaczcionkaakapitu"/>
    <w:rsid w:val="0039043D"/>
  </w:style>
  <w:style w:type="table" w:styleId="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a6a6a6" w:val="clear"/>
    </w:tcPr>
  </w:style>
  <w:style w:type="table" w:styleId="a3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EE44DD"/>
    <w:rPr>
      <w:rFonts w:ascii="Segoe UI" w:cs="Segoe UI" w:hAnsi="Segoe UI"/>
      <w:sz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EE44DD"/>
    <w:rPr>
      <w:rFonts w:ascii="Segoe UI" w:cs="Segoe UI" w:hAnsi="Segoe UI"/>
      <w:sz w:val="18"/>
    </w:rPr>
  </w:style>
  <w:style w:type="paragraph" w:styleId="P68B1DB1-Normalny1" w:customStyle="1">
    <w:name w:val="P68B1DB1-Normalny1"/>
    <w:basedOn w:val="Normalny"/>
    <w:rPr>
      <w:rFonts w:ascii="Calibri" w:cs="Calibri" w:eastAsia="Calibri" w:hAnsi="Calibri"/>
      <w:sz w:val="40"/>
    </w:rPr>
  </w:style>
  <w:style w:type="paragraph" w:styleId="P68B1DB1-Normalny2" w:customStyle="1">
    <w:name w:val="P68B1DB1-Normalny2"/>
    <w:basedOn w:val="Normalny"/>
    <w:rPr>
      <w:color w:val="000000"/>
      <w:sz w:val="40"/>
    </w:rPr>
  </w:style>
  <w:style w:type="paragraph" w:styleId="P68B1DB1-Normalny3" w:customStyle="1">
    <w:name w:val="P68B1DB1-Normalny3"/>
    <w:basedOn w:val="Normalny"/>
    <w:rPr>
      <w:rFonts w:ascii="Calibri" w:cs="Calibri" w:eastAsia="Calibri" w:hAnsi="Calibri"/>
    </w:rPr>
  </w:style>
  <w:style w:type="paragraph" w:styleId="P68B1DB1-Normalny4" w:customStyle="1">
    <w:name w:val="P68B1DB1-Normalny4"/>
    <w:basedOn w:val="Normalny"/>
    <w:rPr>
      <w:color w:val="000000"/>
      <w:sz w:val="32"/>
    </w:rPr>
  </w:style>
  <w:style w:type="paragraph" w:styleId="P68B1DB1-Normalny5" w:customStyle="1">
    <w:name w:val="P68B1DB1-Normalny5"/>
    <w:basedOn w:val="Normalny"/>
    <w:rPr>
      <w:rFonts w:ascii="Calibri" w:cs="Calibri" w:eastAsia="Calibri" w:hAnsi="Calibri"/>
      <w:b w:val="1"/>
      <w:color w:val="000000"/>
      <w:sz w:val="32"/>
    </w:rPr>
  </w:style>
  <w:style w:type="paragraph" w:styleId="P68B1DB1-Normalny6" w:customStyle="1">
    <w:name w:val="P68B1DB1-Normalny6"/>
    <w:basedOn w:val="Normalny"/>
    <w:rPr>
      <w:rFonts w:ascii="Calibri" w:cs="Calibri" w:eastAsia="Calibri" w:hAnsi="Calibri"/>
      <w:b w:val="1"/>
    </w:rPr>
  </w:style>
  <w:style w:type="paragraph" w:styleId="P68B1DB1-Normalny7" w:customStyle="1">
    <w:name w:val="P68B1DB1-Normalny7"/>
    <w:basedOn w:val="Normalny"/>
    <w:rPr>
      <w:rFonts w:ascii="Calibri" w:cs="Calibri" w:eastAsia="Calibri" w:hAnsi="Calibri"/>
      <w:b w:val="1"/>
      <w:color w:val="ff0000"/>
    </w:rPr>
  </w:style>
  <w:style w:type="paragraph" w:styleId="P68B1DB1-Normalny8" w:customStyle="1">
    <w:name w:val="P68B1DB1-Normalny8"/>
    <w:basedOn w:val="Normalny"/>
    <w:rPr>
      <w:rFonts w:ascii="Calibri" w:cs="Calibri" w:eastAsia="Calibri" w:hAnsi="Calibri"/>
      <w:b w:val="1"/>
      <w:color w:val="1155cc"/>
      <w:u w:val="single"/>
    </w:rPr>
  </w:style>
  <w:style w:type="paragraph" w:styleId="P68B1DB1-Normalny9" w:customStyle="1">
    <w:name w:val="P68B1DB1-Normalny9"/>
    <w:basedOn w:val="Normalny"/>
    <w:rPr>
      <w:color w:val="000000"/>
      <w:sz w:val="28"/>
    </w:rPr>
  </w:style>
  <w:style w:type="paragraph" w:styleId="P68B1DB1-Normalny10" w:customStyle="1">
    <w:name w:val="P68B1DB1-Normalny10"/>
    <w:basedOn w:val="Normalny"/>
    <w:rPr>
      <w:rFonts w:ascii="Calibri" w:cs="Calibri" w:eastAsia="Calibri" w:hAnsi="Calibri"/>
      <w:color w:val="1155cc"/>
      <w:u w:val="single"/>
    </w:rPr>
  </w:style>
  <w:style w:type="paragraph" w:styleId="P68B1DB1-Normalny11" w:customStyle="1">
    <w:name w:val="P68B1DB1-Normalny11"/>
    <w:basedOn w:val="Normalny"/>
    <w:rPr>
      <w:color w:val="000000"/>
    </w:rPr>
  </w:style>
  <w:style w:type="paragraph" w:styleId="P68B1DB1-Normalny12" w:customStyle="1">
    <w:name w:val="P68B1DB1-Normalny12"/>
    <w:basedOn w:val="Normalny"/>
    <w:rPr>
      <w:i w:val="1"/>
      <w:sz w:val="20"/>
    </w:rPr>
  </w:style>
  <w:style w:type="paragraph" w:styleId="P68B1DB1-Normalny13" w:customStyle="1">
    <w:name w:val="P68B1DB1-Normalny13"/>
    <w:basedOn w:val="Normalny"/>
    <w:rPr>
      <w:rFonts w:ascii="Times" w:cs="Times" w:eastAsia="Times" w:hAnsi="Times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hyperlink" Target="https://doi.org/10.24059/olj.v23i2.1481" TargetMode="External"/><Relationship Id="rId10" Type="http://schemas.openxmlformats.org/officeDocument/2006/relationships/hyperlink" Target="https://www.youtube.com/watch?v=CJ8qBKC5QP4&amp;t=1s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oi.org/10.1145/3448139.3448179" TargetMode="External"/><Relationship Id="rId12" Type="http://schemas.openxmlformats.org/officeDocument/2006/relationships/hyperlink" Target="https://doi.org/10.3389/feduc.2019.0011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dglossary.org/student-engagement/" TargetMode="External"/><Relationship Id="rId15" Type="http://schemas.openxmlformats.org/officeDocument/2006/relationships/hyperlink" Target="https://doi.org/10.7821/naer.2020.7.561" TargetMode="External"/><Relationship Id="rId14" Type="http://schemas.openxmlformats.org/officeDocument/2006/relationships/hyperlink" Target="https://repository.tudelft.nl/islandora/object/uuid%3Ae89174ea-eb89-4a2a-a5a0-8bd1e30359cd" TargetMode="External"/><Relationship Id="rId17" Type="http://schemas.openxmlformats.org/officeDocument/2006/relationships/hyperlink" Target="https://op.europa.eu/en/publication-detail/-/publication/fcc33b68-d581-11e7-a5b9-01aa75ed71a1/language-en" TargetMode="External"/><Relationship Id="rId16" Type="http://schemas.openxmlformats.org/officeDocument/2006/relationships/hyperlink" Target="https://link.springer.com/chapter/10.1007/978-3-030-81222-5_5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doi.org/10.1186/s41239-021-00284-9" TargetMode="External"/><Relationship Id="rId7" Type="http://schemas.openxmlformats.org/officeDocument/2006/relationships/image" Target="media/image4.png"/><Relationship Id="rId8" Type="http://schemas.openxmlformats.org/officeDocument/2006/relationships/hyperlink" Target="https://www.edglossary.org/student-engagemen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99" TargetMode="External"/><Relationship Id="rId3" Type="http://schemas.openxmlformats.org/officeDocument/2006/relationships/hyperlink" Target="https://teacamp.vdu.lt/course/view.php?id=99" TargetMode="External"/><Relationship Id="rId4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YPStcM39saQP1r17hP6IhZWGZg==">CgMxLjAyDmguZWN1cXNxMXZtdDQ1Mg1oLmx4aTNsY3Ria2s5Mg5oLm8zdGI1anBicGp1NzIOaC5veG56djZ0N3hmcGYyDmguNXozczEwYWRkanJjMg5oLno3Y3ppeWg0OGpwbTIOaC4zeXRudW1janc1amIyDmguMzY1eGozdjE3MW5mMg5oLnI3dThuYWZjZWxydTgAciExUGNVT0Q4ZFNOcFBiWGEtOFRPZ050d0k5ZHBvbXZaZl8=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2023-02-12T16:54:00Z</dcterms:created>
  <dc:creator>US</dc:creator>
</cp:coreProperties>
</file>