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color w:val="000000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Wspieranie i angażowanie uczniów poprzez dane oparte na dowodach (FAZA AUTOREFLEKSJI)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Quiz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1. Które z poniższych są dobrymi strategiami wspierania zaangażowania uczniów? Możliwa jest więcej niż jedna odpowiedź.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Zapewnienie im dużej ilości odczytów i materiałów merytorycznych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Źle! Ważne jest, aby nie przekraczać treści nauczania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Aby odróżnić odczyty opcjonalne od obowiązkowych  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ff00"/>
          <w:sz w:val="24"/>
          <w:szCs w:val="24"/>
          <w:u w:val="none"/>
          <w:shd w:fill="auto" w:val="clear"/>
          <w:vertAlign w:val="baseline"/>
          <w:rtl w:val="0"/>
        </w:rPr>
        <w:t xml:space="preserve">Prawidłowe!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Aby zapewnić im ukierunkowane i terminowe informacje zwrotne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   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ff00"/>
          <w:sz w:val="24"/>
          <w:szCs w:val="24"/>
          <w:u w:val="none"/>
          <w:shd w:fill="auto" w:val="clear"/>
          <w:vertAlign w:val="baseline"/>
          <w:rtl w:val="0"/>
        </w:rPr>
        <w:t xml:space="preserve">Poprawnie!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Włączenie efektów uczenia się do kursu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     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ff00"/>
          <w:sz w:val="24"/>
          <w:szCs w:val="24"/>
          <w:u w:val="none"/>
          <w:shd w:fill="auto" w:val="clear"/>
          <w:vertAlign w:val="baseline"/>
          <w:rtl w:val="0"/>
        </w:rPr>
        <w:t xml:space="preserve">Poprawnie!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2. Które z poniższych narzędzi Moodle można wykorzystać do zaangażowania? *właściwe zaznaczyć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Narzędzie wyboru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ff00"/>
          <w:sz w:val="24"/>
          <w:szCs w:val="24"/>
          <w:u w:val="none"/>
          <w:shd w:fill="auto" w:val="clear"/>
          <w:vertAlign w:val="baseline"/>
          <w:rtl w:val="0"/>
        </w:rPr>
        <w:t xml:space="preserve">Poprawnie!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Cyfrowe odznaki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ff00"/>
          <w:sz w:val="24"/>
          <w:szCs w:val="24"/>
          <w:u w:val="none"/>
          <w:shd w:fill="auto" w:val="clear"/>
          <w:vertAlign w:val="baseline"/>
          <w:rtl w:val="0"/>
        </w:rPr>
        <w:t xml:space="preserve">Poprawnie!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Wiki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ff00"/>
          <w:sz w:val="24"/>
          <w:szCs w:val="24"/>
          <w:u w:val="none"/>
          <w:shd w:fill="auto" w:val="clear"/>
          <w:vertAlign w:val="baseline"/>
          <w:rtl w:val="0"/>
        </w:rPr>
        <w:t xml:space="preserve">Poprawnie!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Forum dyskusyjne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ff00"/>
          <w:sz w:val="24"/>
          <w:szCs w:val="24"/>
          <w:u w:val="none"/>
          <w:shd w:fill="auto" w:val="clear"/>
          <w:vertAlign w:val="baseline"/>
          <w:rtl w:val="0"/>
        </w:rPr>
        <w:t xml:space="preserve">Zgadza się!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3. Co powinny pokazywać konfigurowalne pulpity nawigacyjne, aby pomóc uczniom? *właściwe zaznaczyć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Wskaźniki postępu treści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ff00"/>
          <w:sz w:val="24"/>
          <w:szCs w:val="24"/>
          <w:u w:val="none"/>
          <w:shd w:fill="auto" w:val="clear"/>
          <w:vertAlign w:val="baseline"/>
          <w:rtl w:val="0"/>
        </w:rPr>
        <w:t xml:space="preserve">Poprawnie!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Procent ukończonych zajęć edukacyjnych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ff00"/>
          <w:sz w:val="24"/>
          <w:szCs w:val="24"/>
          <w:u w:val="none"/>
          <w:shd w:fill="auto" w:val="clear"/>
          <w:vertAlign w:val="baseline"/>
          <w:rtl w:val="0"/>
        </w:rPr>
        <w:t xml:space="preserve">Poprawnie!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Poziom zaangażowania w dyskusję jest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ff00"/>
          <w:sz w:val="24"/>
          <w:szCs w:val="24"/>
          <w:u w:val="none"/>
          <w:shd w:fill="auto" w:val="clear"/>
          <w:vertAlign w:val="baseline"/>
          <w:rtl w:val="0"/>
        </w:rPr>
        <w:t xml:space="preserve">prawidłowy!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Czas zakończenia działań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ff00"/>
          <w:sz w:val="24"/>
          <w:szCs w:val="24"/>
          <w:u w:val="none"/>
          <w:shd w:fill="auto" w:val="clear"/>
          <w:vertAlign w:val="baseline"/>
          <w:rtl w:val="0"/>
        </w:rPr>
        <w:t xml:space="preserve">Poprawnie!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4. Które z poniższych stwierdzeń dotyczących umieszczenia uczniów w centrum ich procesu uczenia się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jest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NIEPRAWDZIWE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bookmarkStart w:colFirst="0" w:colLast="0" w:name="_heading=h.kdnw0g44d1dn" w:id="1"/>
      <w:bookmarkEnd w:id="1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Taksonomia Blooma nie może być użyteczna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Źle!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bookmarkStart w:colFirst="0" w:colLast="0" w:name="_heading=h.71lkt3j9yeht" w:id="2"/>
      <w:bookmarkEnd w:id="2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Powinni pracować tylko autonomicznie, współpraca nie jest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ff00"/>
          <w:sz w:val="24"/>
          <w:szCs w:val="24"/>
          <w:highlight w:val="white"/>
          <w:u w:val="none"/>
          <w:vertAlign w:val="baseline"/>
          <w:rtl w:val="0"/>
        </w:rPr>
        <w:t xml:space="preserve">tak ważna. Ważna jest również praca grupowa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bookmarkStart w:colFirst="0" w:colLast="0" w:name="_heading=h.lf7wesn5g805" w:id="3"/>
      <w:bookmarkEnd w:id="3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Uczniowie potrzebują okazji do autorefleksji</w:t>
      </w: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. Źle!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bookmarkStart w:colFirst="0" w:colLast="0" w:name="_heading=h.m92tm3qu53ki" w:id="4"/>
      <w:bookmarkEnd w:id="4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VLE są cenną pomocą, aby umieścić uczniów w centrum ich procesu uczenia się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Źle!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 Pytania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autorefleksyjne</w:t>
      </w:r>
    </w:p>
    <w:p w:rsidR="00000000" w:rsidDel="00000000" w:rsidP="00000000" w:rsidRDefault="00000000" w:rsidRPr="00000000" w14:paraId="00000020">
      <w:pPr>
        <w:spacing w:line="276" w:lineRule="auto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Jakich informacji użyłbyś, aby zrozumieć, w jaki sposób uczniowie doświadczyli kursu? Przykład: pytania zawarte w końcowej informacji zwrotnej. A niby o czym innym?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Ciągły wkład nauczycieli ma kluczowe znaczenie dla zaangażowania uczniów. Jak często nauczyciele powinni interweniować i w jaki sposób?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 byś zrobił, aby dostosować zajęcia do wcześniejszej wiedzy uczniów? Pomyśl o konkretnych przykładach!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Jaką decyzję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31413"/>
          <w:sz w:val="24"/>
          <w:szCs w:val="24"/>
          <w:u w:val="none"/>
          <w:shd w:fill="auto" w:val="clear"/>
          <w:vertAlign w:val="baseline"/>
          <w:rtl w:val="0"/>
        </w:rPr>
        <w:t xml:space="preserve">instruktażową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podjąłbyś, gdyby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31413"/>
          <w:sz w:val="24"/>
          <w:szCs w:val="24"/>
          <w:u w:val="none"/>
          <w:shd w:fill="auto" w:val="clear"/>
          <w:vertAlign w:val="baseline"/>
          <w:rtl w:val="0"/>
        </w:rPr>
        <w:t xml:space="preserve">dane analityczne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31413"/>
          <w:sz w:val="24"/>
          <w:szCs w:val="24"/>
          <w:u w:val="none"/>
          <w:shd w:fill="auto" w:val="clear"/>
          <w:vertAlign w:val="baseline"/>
          <w:rtl w:val="0"/>
        </w:rPr>
        <w:t xml:space="preserve">wskazywały na niski poziom zaangażowania uczniów?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1063113" cy="190500"/>
          <wp:effectExtent b="0" l="0" r="0" t="0"/>
          <wp:docPr id="3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3113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0"/>
        <w:szCs w:val="20"/>
        <w:rtl w:val="0"/>
      </w:rPr>
      <w:t xml:space="preserve">Training material "Monitoring, supporting, and engaging students based on the evidence generated by digital technologies" by</w:t>
    </w:r>
    <w:hyperlink r:id="rId2">
      <w:r w:rsidDel="00000000" w:rsidR="00000000" w:rsidRPr="00000000">
        <w:rPr>
          <w:sz w:val="20"/>
          <w:szCs w:val="20"/>
          <w:rtl w:val="0"/>
        </w:rPr>
        <w:t xml:space="preserve"> </w:t>
      </w:r>
    </w:hyperlink>
    <w:hyperlink r:id="rId3">
      <w:r w:rsidDel="00000000" w:rsidR="00000000" w:rsidRPr="00000000">
        <w:rPr>
          <w:color w:val="8b1a4a"/>
          <w:sz w:val="20"/>
          <w:szCs w:val="20"/>
          <w:rtl w:val="0"/>
        </w:rPr>
        <w:t xml:space="preserve">Maina, M.F., Guàrdia, L., Duart, J.M., Mancini, F., Malerba, M.L., Volungeviciene, A., Tamoliune, G.</w:t>
      </w:r>
    </w:hyperlink>
    <w:r w:rsidDel="00000000" w:rsidR="00000000" w:rsidRPr="00000000">
      <w:rPr>
        <w:sz w:val="20"/>
        <w:szCs w:val="20"/>
        <w:rtl w:val="0"/>
      </w:rPr>
      <w:t xml:space="preserve"> is licensed under a</w:t>
    </w:r>
    <w:hyperlink r:id="rId4">
      <w:r w:rsidDel="00000000" w:rsidR="00000000" w:rsidRPr="00000000">
        <w:rPr>
          <w:sz w:val="20"/>
          <w:szCs w:val="20"/>
          <w:rtl w:val="0"/>
        </w:rPr>
        <w:t xml:space="preserve"> </w:t>
      </w:r>
    </w:hyperlink>
    <w:hyperlink r:id="rId5">
      <w:r w:rsidDel="00000000" w:rsidR="00000000" w:rsidRPr="00000000">
        <w:rPr>
          <w:color w:val="8b1a4a"/>
          <w:sz w:val="20"/>
          <w:szCs w:val="20"/>
          <w:rtl w:val="0"/>
        </w:rPr>
        <w:t xml:space="preserve">Creative Commons Uznanie autorstwa-Na tych samych warunkach 4.0 Międzynarodowe License</w:t>
      </w:r>
    </w:hyperlink>
    <w:r w:rsidDel="00000000" w:rsidR="00000000" w:rsidRPr="00000000">
      <w:rPr>
        <w:sz w:val="20"/>
        <w:szCs w:val="20"/>
        <w:rtl w:val="0"/>
      </w:rPr>
      <w:t xml:space="preserve">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                                                        Training Material for HE Teachers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3905250</wp:posOffset>
          </wp:positionH>
          <wp:positionV relativeFrom="paragraph">
            <wp:posOffset>28585</wp:posOffset>
          </wp:positionV>
          <wp:extent cx="2033588" cy="430182"/>
          <wp:effectExtent b="0" l="0" r="0" t="0"/>
          <wp:wrapNone/>
          <wp:docPr id="3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3588" cy="43018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8</wp:posOffset>
          </wp:positionH>
          <wp:positionV relativeFrom="paragraph">
            <wp:posOffset>28582</wp:posOffset>
          </wp:positionV>
          <wp:extent cx="1446609" cy="428625"/>
          <wp:effectExtent b="0" l="0" r="0" t="0"/>
          <wp:wrapNone/>
          <wp:docPr id="3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6609" cy="4286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i w:val="1"/>
        <w:sz w:val="20"/>
        <w:szCs w:val="20"/>
        <w:rtl w:val="0"/>
      </w:rPr>
      <w:t xml:space="preserve">                                            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UOC_VMU</w:t>
    </w:r>
  </w:p>
  <w:p w:rsidR="00000000" w:rsidDel="00000000" w:rsidP="00000000" w:rsidRDefault="00000000" w:rsidRPr="00000000" w14:paraId="0000002E">
    <w:pPr>
      <w:rPr>
        <w:i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rPr>
        <w:i w:val="1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rPr>
        <w:i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ny" w:default="1">
    <w:name w:val="Normal"/>
    <w:qFormat w:val="1"/>
    <w:rsid w:val="00DB24DF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00"/>
      <w:outlineLvl w:val="0"/>
    </w:pPr>
    <w:rPr>
      <w:sz w:val="40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60"/>
    </w:pPr>
    <w:rPr>
      <w:sz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dtytu">
    <w:name w:val="Subtitle"/>
    <w:basedOn w:val="Normalny"/>
    <w:next w:val="Normalny"/>
    <w:pPr>
      <w:keepNext w:val="1"/>
      <w:keepLines w:val="1"/>
      <w:spacing w:after="320"/>
    </w:pPr>
    <w:rPr>
      <w:color w:val="666666"/>
      <w:sz w:val="30"/>
    </w:rPr>
  </w:style>
  <w:style w:type="paragraph" w:styleId="Nagwek">
    <w:name w:val="header"/>
    <w:basedOn w:val="Normalny"/>
    <w:link w:val="NagwekZnak"/>
    <w:uiPriority w:val="99"/>
    <w:unhideWhenUsed w:val="1"/>
    <w:rsid w:val="00A21E87"/>
    <w:pPr>
      <w:tabs>
        <w:tab w:val="center" w:pos="4680"/>
        <w:tab w:val="right" w:pos="9360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A21E87"/>
  </w:style>
  <w:style w:type="paragraph" w:styleId="Stopka">
    <w:name w:val="footer"/>
    <w:basedOn w:val="Normalny"/>
    <w:link w:val="StopkaZnak"/>
    <w:uiPriority w:val="99"/>
    <w:unhideWhenUsed w:val="1"/>
    <w:rsid w:val="00A21E87"/>
    <w:pPr>
      <w:tabs>
        <w:tab w:val="center" w:pos="4680"/>
        <w:tab w:val="right" w:pos="9360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A21E87"/>
  </w:style>
  <w:style w:type="paragraph" w:styleId="Akapitzlist">
    <w:name w:val="List Paragraph"/>
    <w:basedOn w:val="Normalny"/>
    <w:uiPriority w:val="34"/>
    <w:qFormat w:val="1"/>
    <w:rsid w:val="00420F85"/>
    <w:pPr>
      <w:ind w:left="720"/>
      <w:contextualSpacing w:val="1"/>
    </w:pPr>
  </w:style>
  <w:style w:type="character" w:styleId="Hipercze">
    <w:name w:val="Hyperlink"/>
    <w:basedOn w:val="Domylnaczcionkaakapitu"/>
    <w:uiPriority w:val="99"/>
    <w:unhideWhenUsed w:val="1"/>
    <w:rsid w:val="00420F85"/>
    <w:rPr>
      <w:color w:val="0000ff"/>
      <w:u w:val="single"/>
    </w:rPr>
  </w:style>
  <w:style w:type="character" w:styleId="Numerstrony">
    <w:name w:val="page number"/>
    <w:basedOn w:val="Domylnaczcionkaakapitu"/>
    <w:uiPriority w:val="99"/>
    <w:semiHidden w:val="1"/>
    <w:unhideWhenUsed w:val="1"/>
    <w:rsid w:val="00420F85"/>
  </w:style>
  <w:style w:type="character" w:styleId="ref-lnk" w:customStyle="1">
    <w:name w:val="ref-lnk"/>
    <w:basedOn w:val="Domylnaczcionkaakapitu"/>
    <w:rsid w:val="00721C9E"/>
  </w:style>
  <w:style w:type="character" w:styleId="singlehighlightclass" w:customStyle="1">
    <w:name w:val="single_highlight_class"/>
    <w:basedOn w:val="Domylnaczcionkaakapitu"/>
    <w:rsid w:val="00721C9E"/>
  </w:style>
  <w:style w:type="character" w:styleId="searchnone" w:customStyle="1">
    <w:name w:val="searchnone"/>
    <w:basedOn w:val="Domylnaczcionkaakapitu"/>
    <w:rsid w:val="0039043D"/>
  </w:style>
  <w:style w:type="table" w:styleId="a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68B1DB1-Normalny1" w:customStyle="1">
    <w:name w:val="P68B1DB1-Normalny1"/>
    <w:basedOn w:val="Normalny"/>
    <w:rPr>
      <w:rFonts w:ascii="Calibri" w:cs="Calibri" w:eastAsia="Calibri" w:hAnsi="Calibri"/>
      <w:b w:val="1"/>
      <w:sz w:val="30"/>
    </w:rPr>
  </w:style>
  <w:style w:type="paragraph" w:styleId="P68B1DB1-Normalny2" w:customStyle="1">
    <w:name w:val="P68B1DB1-Normalny2"/>
    <w:basedOn w:val="Normalny"/>
    <w:rPr>
      <w:rFonts w:ascii="Calibri" w:cs="Calibri" w:eastAsia="Calibri" w:hAnsi="Calibri"/>
      <w:b w:val="1"/>
    </w:rPr>
  </w:style>
  <w:style w:type="paragraph" w:styleId="P68B1DB1-Normalny3" w:customStyle="1">
    <w:name w:val="P68B1DB1-Normalny3"/>
    <w:basedOn w:val="Normalny"/>
    <w:rPr>
      <w:rFonts w:ascii="Calibri" w:cs="Calibri" w:eastAsia="Calibri" w:hAnsi="Calibri"/>
      <w:highlight w:val="white"/>
    </w:rPr>
  </w:style>
  <w:style w:type="paragraph" w:styleId="P68B1DB1-Normalny4" w:customStyle="1">
    <w:name w:val="P68B1DB1-Normalny4"/>
    <w:basedOn w:val="Normalny"/>
    <w:rPr>
      <w:rFonts w:ascii="Calibri" w:cs="Calibri" w:eastAsia="Calibri" w:hAnsi="Calibri"/>
    </w:rPr>
  </w:style>
  <w:style w:type="paragraph" w:styleId="P68B1DB1-Normalny5" w:customStyle="1">
    <w:name w:val="P68B1DB1-Normalny5"/>
    <w:basedOn w:val="Normalny"/>
    <w:rPr>
      <w:color w:val="000000"/>
    </w:rPr>
  </w:style>
  <w:style w:type="paragraph" w:styleId="P68B1DB1-Normalny6" w:customStyle="1">
    <w:name w:val="P68B1DB1-Normalny6"/>
    <w:basedOn w:val="Normalny"/>
    <w:rPr>
      <w:i w:val="1"/>
      <w:sz w:val="20"/>
    </w:rPr>
  </w:style>
  <w:style w:type="paragraph" w:styleId="P68B1DB1-Normalny7" w:customStyle="1">
    <w:name w:val="P68B1DB1-Normalny7"/>
    <w:basedOn w:val="Normalny"/>
    <w:rPr>
      <w:rFonts w:ascii="Times" w:cs="Times" w:eastAsia="Times" w:hAnsi="Times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s://teacamp.vdu.lt/course/view.php?id=99" TargetMode="External"/><Relationship Id="rId3" Type="http://schemas.openxmlformats.org/officeDocument/2006/relationships/hyperlink" Target="https://teacamp.vdu.lt/course/view.php?id=99" TargetMode="External"/><Relationship Id="rId4" Type="http://schemas.openxmlformats.org/officeDocument/2006/relationships/hyperlink" Target="http://creativecommons.org/licenses/by-sa/4.0/" TargetMode="External"/><Relationship Id="rId5" Type="http://schemas.openxmlformats.org/officeDocument/2006/relationships/hyperlink" Target="http://creativecommons.org/licenses/by-sa/4.0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Td/ds8oQ+dm9BIKIbVfZ6+5FtQ==">CgMxLjAyCGguZ2pkZ3hzMg5oLmtkbncwZzQ0ZDFkbjIOaC43MWxrdDNqOXllaHQyDmgubGY3d2VzbjVnODA1Mg5oLm05MnRtM3F1NTNraTgAciExaTdYZW05STZZV18xRUR3WDVrbmsyZG5CX0pTeFNyOGw=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2023-02-12T16:57:00Z</dcterms:created>
  <dc:creator>US</dc:creator>
</cp:coreProperties>
</file>