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rPr>
          <w:rFonts w:ascii="Calibri" w:cs="Calibri" w:eastAsia="Calibri" w:hAnsi="Calibri"/>
          <w:b w:val="1"/>
          <w:color w:val="000000"/>
          <w:sz w:val="30"/>
          <w:szCs w:val="30"/>
        </w:rPr>
      </w:pPr>
      <w:bookmarkStart w:colFirst="0" w:colLast="0" w:name="_heading=h.it0u85nt9ojh" w:id="0"/>
      <w:bookmarkEnd w:id="0"/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Unit 2</w:t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0"/>
          <w:szCs w:val="30"/>
          <w:rtl w:val="0"/>
        </w:rPr>
        <w:t xml:space="preserve">Analiza i interpretacja danych opartych na dowodach w celu informowania o nauczaniu i uczeniu się (FAZA MONITOROWANIA / WYDAJNOŚCI / NAUCZANIA I UCZENIA SIĘ)</w:t>
      </w:r>
    </w:p>
    <w:p w:rsidR="00000000" w:rsidDel="00000000" w:rsidP="00000000" w:rsidRDefault="00000000" w:rsidRPr="00000000" w14:paraId="00000002">
      <w:pPr>
        <w:spacing w:line="276" w:lineRule="auto"/>
        <w:ind w:firstLine="280"/>
        <w:jc w:val="center"/>
        <w:rPr>
          <w:rFonts w:ascii="Calibri" w:cs="Calibri" w:eastAsia="Calibri" w:hAnsi="Calibri"/>
          <w:b w:val="1"/>
          <w:color w:val="000000"/>
          <w:sz w:val="30"/>
          <w:szCs w:val="3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47625</wp:posOffset>
            </wp:positionV>
            <wp:extent cx="6081713" cy="3248025"/>
            <wp:effectExtent b="0" l="0" r="0" t="0"/>
            <wp:wrapSquare wrapText="bothSides" distB="19050" distT="19050" distL="19050" distR="19050"/>
            <wp:docPr id="4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1713" cy="3248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28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wxjwn9cun9sb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Rysunek 1. Learning Analytics as a Metacognitive Tool to Enhance Student Academic Success (Volungeviciene et al., 2021, s.175)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llpn4dbjlliy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WSTĘP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DigCompEdu Framework (Punie &amp; Redecker, 2017) analiza dowodów jest częścią kompetencji oceny i środków do generowania, selekcji, krytycznej analizy i interpretacji dowodów cyfrowych dotyczących aktywności, wydajności i postępu ucznia w celu informowania o nauczaniu i uczeniu się.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Dzięki zastosowaniu analityki uczenia się, aby spojrzeć na dowody, nauczyciele mogą dostosować i dostosować program nauczania do potrzeb i umiejętności uczniów. Analityka jest również przydatna dla nauczycieli do planowania ponownego dostosowania treści i strategii podczas kursu zgodnie z potrzebami uczniów i  uczynienia ich procesu uczenia się i interwencji bardziej spersonalizowanymi.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Analityka uczenia się dostarcza cennych informacji i spostrzeżeń nie tylko nauczycielom, ale także uczniom. W rzeczywistości podnoszą świadomość umiejętności poznawczych uczniów i silniejsze poczucie wspólnoty (Trespalacios &amp; Perkins, 2016), sprzyjając bardziej aktywnemu zaangażowaniu uczniów. Jak wspominają Sclater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in.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(2016), istnieją różne sposoby analizowania i interpretowania dowodów, takie jak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modeli predykcyjnych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(patrz wprowadzenie koncepcyjne),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analiza sieci społecznościowych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pokazywanie interakcji wzorcowych na forach dyskusyjnych (Holmes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in.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2019) oraz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personalizacja uczenia się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poprzez prowadzenie uczniów w ich ścieżce uczenia się z zaleceniami i wskazaniami dotyczącymi ich postępów.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odniesieniu do trzeciego aspektu, personalizacja uczenia się, uczenie się rozwiązań projektowych nie są spójne i sekwencyjne dla wszystkich studentów. Nauczanie koncentruje się raczej na szerokim temacie, który obejmuje wiele różnych zasobów, a wzorce zachowań uczniów różnią się od siebie.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Ważne!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trosce o przejrzystość ważne jest, aby uczniowie od pierwszego wykładu wiedzieli, że nauczyciel może uzyskać dostęp do danych związanych z ich zaangażowaniem w wirtualne środowisko uczenia się i monitorować je. Ważne jest również, aby poinformować ich, jakie dane są dostępne, analizowane, do czego są wykorzystywane i w jaki sposób zapewniona jest ochrona danych.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nf68u7hxt5ri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Tematy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5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Jak analizować i interpretować dostępne dowody dotyczące aktywności i postępów uczniów, aby wspierać zaangażowanie?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5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59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Jak przeprowadzać interwencje dydaktyczne i edukacyjne oparte na danych poprzez raporty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708" w:right="0" w:hanging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58d2z9cpmb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Wyniki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Wykorzystanie technologii cyfrowych w celu zapewnienia ukierunkowanych i terminowych informacji zwrotnych dla uczniów.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Dostosowanie strategii nauczania i zapewnienie ukierunkowanego wsparcia w oparciu o dowody generowane przez wykorzystywane technologie cyfrowe.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wygenerować, wybrać, krytycznie analizować i interpretować dowody cyfrowe dotyczące aktywności, wydajności i postępu ucznia, w celu informowania o nauczaniu i uczeniu się.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Wykorzystanie technologii cyfrowych w celu umożliwienia uczniom refleksji i samooceny procesu uczenia się.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d04xsutsvln5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DEFINICJE (narzędzie Słowniczek)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Postęp w nauce: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Postęp</w:t>
      </w:r>
      <w:r w:rsidDel="00000000" w:rsidR="00000000" w:rsidRPr="00000000">
        <w:rPr>
          <w:rtl w:val="0"/>
        </w:rPr>
        <w:t xml:space="preserve">     w nauce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opisuje rosnące poziomy trudności i złożoności w zdobywaniu wiedzy</w:t>
      </w:r>
      <w:r w:rsidDel="00000000" w:rsidR="00000000" w:rsidRPr="00000000">
        <w:rPr>
          <w:rtl w:val="0"/>
        </w:rPr>
        <w:t xml:space="preserve">          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umiejętności i postaw w danej dziedzinie. Nauczyciele muszą być w stanie określić, kiedy i jak interweniować, aby przyspieszyć naukę uczniów. 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Wydajność ucznia: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Miara tego, jak dobrze uczniowie uczą się pod względem rozwoju wiedzy i umiejętności. 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jfu1q11k3c5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STRATEGIE I ZALECENIA DOTYCZĄCE ANALIZY I INTERPRETACJI DOWODÓW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Pedagogiczny punkt widzenia: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Zastanów się i zdecyduj, jakie dane dotyczące zachowania uczniów i procesu uczenia się oraz postępów są ważne do przeanalizowania;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Zdecyduj, które dane są ważne do analizy w semestrze, a które na koniec semestru/okresu nauki;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Poinformuj uczniów o tym, co jest generowane, monitorowane i analizowane przez Ciebie oraz jakie dane mogą analizować samodzielnie;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Przeanalizuj raporty aktywności uczniów, które pokazują, ile razy każdy zasób edukacyjny lub aktywność była dostępna dla uczniów. Może to pomóc w zrozumieniu i poznaniu stylów uczenia się uczniów i preferowanych form zasobów edukacyjnych;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Zastanów się, jakie zmiany należy wprowadzić w zakresie projektowania uczenia się, materiałów edukacyjnych, działań, zadań lub strategii oceny w oparciu o dowody cyfrowe;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Przekaż uczniom informacje zwrotne na temat postępów w nauce.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Techniczny punkt widzenia: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Konfigurowanie i planowanie działań i zadań, które pomogłyby zebrać pożądane dane;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Zintegruj wspierane przez VLE lub zewnętrzne narzędzia cyfrowe, które sprzyjają aktywnemu uczestnictwu uczniów (np. Moodle Mind-map, Mentimeter, Padlet, Jamboard, Google Docs);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 z narzędzi cyfrowych, aby przekazywać uczniom ustne lub pisemne informacje zwrotne.</w:t>
      </w:r>
    </w:p>
    <w:p w:rsidR="00000000" w:rsidDel="00000000" w:rsidP="00000000" w:rsidRDefault="00000000" w:rsidRPr="00000000" w14:paraId="00000022">
      <w:pPr>
        <w:keepNext w:val="1"/>
        <w:keepLines w:val="1"/>
        <w:spacing w:after="240" w:before="240" w:line="360" w:lineRule="auto"/>
        <w:jc w:val="both"/>
        <w:rPr>
          <w:sz w:val="28"/>
          <w:szCs w:val="28"/>
        </w:rPr>
      </w:pPr>
      <w:bookmarkStart w:colFirst="0" w:colLast="0" w:name="_heading=h.r7u8nafcelru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faxb0yeocw0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MATERIAŁY DO DALSZEJ LEKTURY (OPCJONALNIE)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Bodily, R. i Verbert, K. (2017). Przegląd badań nad panelami analityki uczenia się skierowanymi do studentów i edukacyjnymi systemami rekomendacji.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 Transactions on Learning Technologies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10(4), 405-418. DOI: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10.1109/TLT.2017.2740172Charleer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, S., Moere, A. V., Klerkx, J., Verbert, K. i De Laet, T. (2017). Uczenie się pulpitów analitycznych w celu wspierania dialogu doradca-uczeń.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 Transactions on Learning Technologies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11(3), 389-399. DOI: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10.1109/TLT.2017.2720670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Emplit, P. i Zhang, T. (2020). Evidence-based approaches to learning and teaching,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Learning and Teaching Paper #11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Thematic peer group report, EUA.%20e https://eua.eu/downloads/publications/eua20e 20reportvidence-based%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20approaches_web.pdf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Er, E., Dimitriadis, Y. &amp; Gasevic, D. (2021). Collaborative peer feedback and Learning Analytics: Theory Oriented Design for Support Class-wide Interventions, ASSESSMENT &amp; EVALUATION IN HIGHER EDUCATION, VOL. 46, NR 2, 169–190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https://doi.org/10.1080/02602938.2020.1764490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Holmes, W., Nguyen, Q., Zhang, J., Mavrikis, M. i Rienties, B. (2019). Learning analytics for learning design in online distance learning,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Distance Education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https://doi.org/10.1080/01587919.2019.1637716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Kitto, K. i Knight, S. (2019). Etyka praktyczna w budowaniu analityki uczenia się.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British Journal of Educational Technology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50(6), 2855-2870.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https://doi.org/10.1111/bjet.12868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Matcha, W., Gašević, D. i Pardo, A. (2019). Systematyczny przegląd badań empirycznych na temat pulpitów analityki uczenia się: samoregulująca się perspektywa uczenia się.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 Transactions on Learning Technologies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13(2), 226-245. DOI: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10.1109/TLT.2019.2916802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Punie, Y., editor(s), Redecker, C.,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European Framework for the Digital Competence of Educators: DigCompEdu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EUR 28775 EN, Publications Office of the European Union, Luxembourg, 2017. Pobrane z: https://op.europa.eu/pl/publication-detail/-/publication/fcc33b68-d581-11e7-a5b9-01aa75ed71a1/language-en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Schumacher, C., &amp; Ifenthaler, D. (2018). Cechy, których uczniowie naprawdę oczekują od analityki uczenia się.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Computers in human behaviour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78, 397-407.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Sclater, N., Peasgood, A. i Mullan, J. (2016).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Nauka analityki w szkolnictwie wyższym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Bristol: JISC.</w:t>
      </w:r>
    </w:p>
    <w:p w:rsidR="00000000" w:rsidDel="00000000" w:rsidP="00000000" w:rsidRDefault="00000000" w:rsidRPr="00000000" w14:paraId="0000002D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Sedrakyan, G., Malmberg, J., Verbert, K., Järvelä, S. i Kirschner, P. A. (2020). Łączenie analityki zachowań związanych z uczeniem się i koncepcji nauki uczenia się: projektowanie pulpitu analityki uczenia się w celu uzyskania informacji zwrotnych w celu wsparcia regulacji uczenia się.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Computers in Human Behavior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107, 105512.</w:t>
        <w:br w:type="textWrapping"/>
      </w:r>
      <w:r w:rsidDel="00000000" w:rsidR="00000000" w:rsidRPr="00000000">
        <w:rPr>
          <w:rtl w:val="0"/>
        </w:rPr>
        <w:t xml:space="preserve">    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https://doi.org/10.1016/j.chb.2018.05.004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Silvola, A., Näykki, P., Kaveri, A. i Muukkonen, H. (2021). Oczekiwania dotyczące wspierania zaangażowania uczniów w analitykę uczenia się: perspektywa ścieżki akademickiej.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Computers &amp; Education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168, 104192.  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https://doi.org/10.1016/j.compedu.2021.104192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Trespalacios, J. i Perkins, R. (2016). Poczucie wspólnoty, postrzeganej nauki i relacji z osiągnięciami w internetowym kursie dla absolwentów.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Turkish Online Journal of Distance Education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17(3), 31–49. DOI: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10.17718/tojde.12984         </w:t>
        </w:r>
      </w:hyperlink>
      <w:r w:rsidDel="00000000" w:rsidR="00000000" w:rsidRPr="00000000">
        <w:rPr>
          <w:rtl w:val="0"/>
        </w:rPr>
        <w:t xml:space="preserve">     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Volungevičienė, A. (2021).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i w:val="1"/>
            <w:rtl w:val="0"/>
          </w:rPr>
          <w:t xml:space="preserve">Analiza danych przykładowych przypadków. In Learning Analytics: a Metacognitive Tool to Engage Students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 (s. 73-170). Sciendo.https</w:t>
        </w:r>
      </w:hyperlink>
      <w:r w:rsidDel="00000000" w:rsidR="00000000" w:rsidRPr="00000000">
        <w:rPr>
          <w:rtl w:val="0"/>
        </w:rPr>
        <w:t xml:space="preserve">: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/</w:t>
        </w:r>
      </w:hyperlink>
      <w:r w:rsidDel="00000000" w:rsidR="00000000" w:rsidRPr="00000000">
        <w:rPr>
          <w:rtl w:val="0"/>
        </w:rPr>
        <w:t xml:space="preserve">/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doi.org/10.2478/9788366675643-005. https://www.sciendo.com/pl/chapter/9788366675643/10.2478/9788366675643-005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22" w:type="default"/>
      <w:footerReference r:id="rId23" w:type="default"/>
      <w:footerReference r:id="rId2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63113" cy="190500"/>
          <wp:effectExtent b="0" l="0" r="0" t="0"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Training material "Monitoring, supporting, and engaging students based on the evidence generated by digital technologies" by </w:t>
    </w:r>
    <w:hyperlink r:id="rId2">
      <w:r w:rsidDel="00000000" w:rsidR="00000000" w:rsidRPr="00000000">
        <w:rPr>
          <w:color w:val="8b1a4a"/>
          <w:sz w:val="20"/>
          <w:szCs w:val="20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is licensed under a </w:t>
    </w:r>
    <w:hyperlink r:id="rId3">
      <w:r w:rsidDel="00000000" w:rsidR="00000000" w:rsidRPr="00000000">
        <w:rPr>
          <w:color w:val="8b1a4a"/>
          <w:sz w:val="20"/>
          <w:szCs w:val="20"/>
          <w:rtl w:val="0"/>
        </w:rPr>
        <w:t xml:space="preserve">Creative Commons Uznanie autorstwa-Na tych samych warunkach 4.0 Międzynarodowe License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28584</wp:posOffset>
          </wp:positionV>
          <wp:extent cx="2033588" cy="430182"/>
          <wp:effectExtent b="0" l="0" r="0" t="0"/>
          <wp:wrapNone/>
          <wp:docPr id="4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28581</wp:posOffset>
          </wp:positionV>
          <wp:extent cx="1446609" cy="428625"/>
          <wp:effectExtent b="0" l="0" r="0" t="0"/>
          <wp:wrapNone/>
          <wp:docPr id="4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UOC_VMU</w:t>
    </w:r>
  </w:p>
  <w:p w:rsidR="00000000" w:rsidDel="00000000" w:rsidP="00000000" w:rsidRDefault="00000000" w:rsidRPr="00000000" w14:paraId="00000034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DB24DF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</w:rPr>
  </w:style>
  <w:style w:type="paragraph" w:styleId="Nagwek">
    <w:name w:val="header"/>
    <w:basedOn w:val="Normalny"/>
    <w:link w:val="Nagwek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21E87"/>
  </w:style>
  <w:style w:type="paragraph" w:styleId="Stopka">
    <w:name w:val="footer"/>
    <w:basedOn w:val="Normalny"/>
    <w:link w:val="Stopka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1E87"/>
  </w:style>
  <w:style w:type="paragraph" w:styleId="Akapitzlist">
    <w:name w:val="List Paragraph"/>
    <w:basedOn w:val="Normalny"/>
    <w:uiPriority w:val="34"/>
    <w:qFormat w:val="1"/>
    <w:rsid w:val="00420F85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420F85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420F85"/>
  </w:style>
  <w:style w:type="character" w:styleId="ref-lnk" w:customStyle="1">
    <w:name w:val="ref-lnk"/>
    <w:basedOn w:val="Domylnaczcionkaakapitu"/>
    <w:rsid w:val="00721C9E"/>
  </w:style>
  <w:style w:type="character" w:styleId="singlehighlightclass" w:customStyle="1">
    <w:name w:val="single_highlight_class"/>
    <w:basedOn w:val="Domylnaczcionkaakapitu"/>
    <w:rsid w:val="00721C9E"/>
  </w:style>
  <w:style w:type="character" w:styleId="searchnone" w:customStyle="1">
    <w:name w:val="searchnone"/>
    <w:basedOn w:val="Domylnaczcionkaakapitu"/>
    <w:rsid w:val="0039043D"/>
  </w:style>
  <w:style w:type="table" w:styleId="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56D2B"/>
    <w:rPr>
      <w:rFonts w:ascii="Segoe UI" w:cs="Segoe UI" w:hAnsi="Segoe UI"/>
      <w:sz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56D2B"/>
    <w:rPr>
      <w:rFonts w:ascii="Segoe UI" w:cs="Segoe UI" w:hAnsi="Segoe UI"/>
      <w:sz w:val="18"/>
    </w:rPr>
  </w:style>
  <w:style w:type="paragraph" w:styleId="P68B1DB1-Normalny1" w:customStyle="1">
    <w:name w:val="P68B1DB1-Normalny1"/>
    <w:basedOn w:val="Normalny"/>
    <w:rPr>
      <w:rFonts w:ascii="Calibri" w:cs="Calibri" w:eastAsia="Calibri" w:hAnsi="Calibri"/>
      <w:b w:val="1"/>
      <w:color w:val="000000"/>
      <w:sz w:val="30"/>
    </w:rPr>
  </w:style>
  <w:style w:type="paragraph" w:styleId="P68B1DB1-Normalny2" w:customStyle="1">
    <w:name w:val="P68B1DB1-Normalny2"/>
    <w:basedOn w:val="Normalny"/>
    <w:rPr>
      <w:color w:val="000000"/>
      <w:sz w:val="40"/>
    </w:rPr>
  </w:style>
  <w:style w:type="paragraph" w:styleId="P68B1DB1-Normalny3" w:customStyle="1">
    <w:name w:val="P68B1DB1-Normalny3"/>
    <w:basedOn w:val="Normalny"/>
    <w:rPr>
      <w:rFonts w:ascii="Calibri" w:cs="Calibri" w:eastAsia="Calibri" w:hAnsi="Calibri"/>
    </w:rPr>
  </w:style>
  <w:style w:type="paragraph" w:styleId="P68B1DB1-Normalny4" w:customStyle="1">
    <w:name w:val="P68B1DB1-Normalny4"/>
    <w:basedOn w:val="Normalny"/>
    <w:rPr>
      <w:rFonts w:ascii="Calibri" w:cs="Calibri" w:eastAsia="Calibri" w:hAnsi="Calibri"/>
      <w:sz w:val="22"/>
    </w:rPr>
  </w:style>
  <w:style w:type="paragraph" w:styleId="P68B1DB1-Normalny5" w:customStyle="1">
    <w:name w:val="P68B1DB1-Normalny5"/>
    <w:basedOn w:val="Normalny"/>
    <w:rPr>
      <w:color w:val="000000"/>
      <w:sz w:val="32"/>
    </w:rPr>
  </w:style>
  <w:style w:type="paragraph" w:styleId="P68B1DB1-Normalny6" w:customStyle="1">
    <w:name w:val="P68B1DB1-Normalny6"/>
    <w:basedOn w:val="Normalny"/>
    <w:rPr>
      <w:rFonts w:ascii="Calibri" w:cs="Calibri" w:eastAsia="Calibri" w:hAnsi="Calibri"/>
      <w:b w:val="1"/>
    </w:rPr>
  </w:style>
  <w:style w:type="paragraph" w:styleId="P68B1DB1-Normalny7" w:customStyle="1">
    <w:name w:val="P68B1DB1-Normalny7"/>
    <w:basedOn w:val="Normalny"/>
    <w:rPr>
      <w:sz w:val="28"/>
    </w:rPr>
  </w:style>
  <w:style w:type="paragraph" w:styleId="P68B1DB1-Normalny8" w:customStyle="1">
    <w:name w:val="P68B1DB1-Normalny8"/>
    <w:basedOn w:val="Normalny"/>
    <w:rPr>
      <w:rFonts w:ascii="Calibri" w:cs="Calibri" w:eastAsia="Calibri" w:hAnsi="Calibri"/>
      <w:b w:val="1"/>
      <w:sz w:val="22"/>
    </w:rPr>
  </w:style>
  <w:style w:type="paragraph" w:styleId="P68B1DB1-Normalny9" w:customStyle="1">
    <w:name w:val="P68B1DB1-Normalny9"/>
    <w:basedOn w:val="Normalny"/>
    <w:rPr>
      <w:color w:val="000000"/>
    </w:rPr>
  </w:style>
  <w:style w:type="paragraph" w:styleId="P68B1DB1-Normalny10" w:customStyle="1">
    <w:name w:val="P68B1DB1-Normalny10"/>
    <w:basedOn w:val="Normalny"/>
    <w:rPr>
      <w:i w:val="1"/>
      <w:sz w:val="20"/>
    </w:rPr>
  </w:style>
  <w:style w:type="paragraph" w:styleId="P68B1DB1-Normalny11" w:customStyle="1">
    <w:name w:val="P68B1DB1-Normalny11"/>
    <w:basedOn w:val="Normalny"/>
    <w:rPr>
      <w:rFonts w:ascii="Times" w:cs="Times" w:eastAsia="Times" w:hAnsi="Times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i.org/10.2478/9788366675643-005" TargetMode="External"/><Relationship Id="rId11" Type="http://schemas.openxmlformats.org/officeDocument/2006/relationships/hyperlink" Target="https://doi.org/10.1080/01587919.2019.1637716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doi.org/10.1080/02602938.2020.1764490" TargetMode="External"/><Relationship Id="rId21" Type="http://schemas.openxmlformats.org/officeDocument/2006/relationships/hyperlink" Target="https://www.sciendo.com/pl/chapter/9788366675643/10.2478/9788366675643-005" TargetMode="External"/><Relationship Id="rId13" Type="http://schemas.openxmlformats.org/officeDocument/2006/relationships/hyperlink" Target="https://doi.org/10.1109/TLT.2019.2916802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doi.org/10.1111/bjet.12868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109/TLT.2017.2720670" TargetMode="External"/><Relationship Id="rId15" Type="http://schemas.openxmlformats.org/officeDocument/2006/relationships/hyperlink" Target="https://doi.org/10.1016/j.compedu.2021.104192" TargetMode="External"/><Relationship Id="rId14" Type="http://schemas.openxmlformats.org/officeDocument/2006/relationships/hyperlink" Target="https://doi.org/10.1016/j.chb.2018.05.004" TargetMode="External"/><Relationship Id="rId17" Type="http://schemas.openxmlformats.org/officeDocument/2006/relationships/hyperlink" Target="https://www.sciendo.com/pl/chapter/9788366675643/10.2478/9788366675643-005" TargetMode="External"/><Relationship Id="rId16" Type="http://schemas.openxmlformats.org/officeDocument/2006/relationships/hyperlink" Target="http://dx.doi.org/10.17718/tojde.12984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ciendo.com/pl/chapter/9788366675643/10.2478/9788366675643-005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sciendo.com/pl/chapter/9788366675643/10.2478/9788366675643-005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doi.org/10.1109/TLT.2017.274017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99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nwrs6F/HaqTY9NFh0DkfV5y9w==">CgMxLjAyDmguaXQwdTg1bnQ5b2poMghoLmdqZGd4czIOaC53eGp3bjljdW45c2IyDmgubGxwbjRkYmpsbGl5Mg5oLm5mNjh1N2h4dDVyaTIOaC4zMDU4ZDJ6OWNwbWIyDmguZDA0eHN1dHN2bG41Mg5oLjJqZnUxcTExazNjNTIOaC5yN3U4bmFmY2VscnUyDmgucGZheGIweWVvY3cwOAByITEyekd0NnAwTU1zbHg3TGpRRmR4R2VNTEx4b3otQ1hoNw==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2023-02-12T15:53:00Z</dcterms:created>
  <dc:creator>US</dc:creator>
</cp:coreProperties>
</file>