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4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Rozdział 1 Projektowanie opartych na dowodach strategii nauczania i uczenia się, które sprzyjają samoregulacji uczenia się w VLE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40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m41ql0wgquai" w:id="1"/>
      <w:bookmarkEnd w:id="1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</w:rPr>
        <w:drawing>
          <wp:inline distB="114300" distT="114300" distL="114300" distR="114300">
            <wp:extent cx="4814888" cy="3212387"/>
            <wp:effectExtent b="0" l="0" r="0" t="0"/>
            <wp:docPr id="4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3212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dcn5xjhd7pgl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Wprowadzenie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projektowaniu opartych na dowodach strategii nauczania i uczenia się ważne jest nie tylko mówienie o tym, jakie dane można gromadzić, ale także skupienie się na tym, jak projektować nauczanie i uczenie się w sposób wspierający uczenie się metapoznawcze uczniów. Wiedza o tym, które strategie metapoznawcze wspierają zaangażowanie uczniów, wydajność i samoregulację uczenia się, może pomóc w podjęciu decyzji, które narzędzia wykorzystać do gromadzenia cyfrowych dowodów na temat zachowania uczniów.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Dobra analityka uczenia się zaczyna się od myślenia o tym, jak konfigurowane są działania i narzędzia oraz w jaki sposób będą generować dowody i dane, które mogą informować o nauczaniu i uczeniu się. Ta faza projektowania uczenia się odnosi się do strategii planowania gromadzenia danych, tj. Kiedy nauczyciele planują i rozwijają swój program nauczania i kurs. Podczas projektowania kursu nauczyciel powinien wstępnie zaplanować działania, zadania, oceny, zasoby edukacyjne i narzędzia, które wygenerują dane o postępach uczniów i pozwolą podnieść świadomość nauczycieli i uczniów na temat procesu uczenia się i postępów.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tym rozdziale pokażemy, jak zaprojektować metapoznawcze strategie nauczania i uczenia się (1.1.), Jak ustawić ustawienia zajęć szkoleniowych, aby śledzić zaangażowanie uczniów (1.2.), A na koniec, jak wybrać i osadzić narzędzia cyfrowe, które przechwytują dane o postępach ucznia (1.3.). 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x7y9mhq4t8ac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Tematy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Jak zaprojektować metapoznawcze strategie nauczania i uczenia się?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Jak ustawić ustawienia zajęć kursowych, aby śledzić zaangażowanie uczniów?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Jak wybrać i osadzić narzędzia cyfrowe, które przechwytują dane o postępach ucznia?</w:t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y1afnqh1xc2c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Wyniki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Projektowanie metapoznawczych strategii nauczania i uczenia się, które ułatwiają zaangażowanie uczniów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Wybieranie i konfigurowanie narzędzi wspierających działania związane z uczeniem się metapoznawczym oraz generowanie danych dotyczących projektowania uczenia się lub postępów w nauce.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technologii cyfrowych w celu zapewnienia ukierunkowanych i terminowych informacji zwrotnych dla uczniów.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korzystaj z technologii cyfrowych (np. blogi, pamiętniki, narzędzia planowania), aby umożliwić uczniom planowanie nauki.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z7cziyh48jpm" w:id="5"/>
      <w:bookmarkEnd w:id="5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Definicje (słowniczek Moodle 'a)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Dane: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kontekście tej struktury dane to informacje, które zbieramy o studentach. Może pochodzić z</w:t>
      </w:r>
      <w:r w:rsidDel="00000000" w:rsidR="00000000" w:rsidRPr="00000000">
        <w:rPr>
          <w:rtl w:val="0"/>
        </w:rPr>
        <w:t xml:space="preserve">  formularzy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testów, interakcji uczniów z zasobami edukacyjnymi lub działaniami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Umiejętność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krytycznego wyszukiwania, oceniania i odczytywania danych, często wykraczająca poza ich formę liczbową i ilościową. Analiza uczenia się koncentruje się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gromadzeniu i  generowaniu danych uczniów w celu poprawy nauczania i uczenia się. Zależy to jednak od umiejętności cyfrowych nauczycieli i uczniów, niezależnie od tego, czy dane generowane w LA informują o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nauczaniu i uczeniu się, czy nie.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Uczenie się i nauczanie oparte na dowodach (EBLT):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Uczenie się i nauczanie oparte na dowodach, zgodnie z opisem w sprawozdaniu EUA, obejmuje kilka kroków: (1) decyzja dotycząca pytania do rozwiązania, (2) gromadzenie i analiza dowodów, (3) projektowanie, cele i wskaźniki oceny, (4) wdrażanie i praktyka, (5) podejmowanie decyzji w oparciu o dowody w celu poprawy procesu (Emplit &amp; Zhang, 2020).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Analityki uczenia się (LA)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narzędziem do oceny, interpretacji i analizy danych generowanych przez uczących się  w środowisku uczenia się online, aby procesy uczenia się i nauczania były bardziej wydajne przez nauczyciela w zakresie interwencji potrzebnych do doradztwa lub konsultacji z uczniami w odpowiednim czasie, aby zwiększyć ich sukces akademicki. (Volungeviciene et al., 2021, 12). Istnieją cztery główne kategorie analityki uczenia się: (1) opisowa (co się stało?)prognozowanie (co będzie dalej?)diagnostyka (dlaczego tak się stało?) nakazowe (zrób to, aby poprawić)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Podejmowanie decyzji metapoznawczych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świadomość konkretnych decyzji dotyczących projektowania nauczania i uczenia się oraz przyczyny tych decyzji (Griffith i in., 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Samoregulujące się uczenie się: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Samoregulujące się uczenie się jest ważnym pojęciem ramowym, które obejmuje kilka aspektów uczenia się: poznawcze, metapoznawcze, behawioralne, motywacyjne i emocjonalne (Panadero, 2017). Zimmerman (2000) opracował model faz cyklicznych SRL podzielony na trzy fazy: (1) przezorność, (2) wydajność i (3) autorefleksja. W pierwszej fazie uczniowie wyznaczają swoje cele, aktywują strategie uczenia się i próbują osiągnąć swoje cele; w fazie wydajności wykonują zadanie, monitorują swoje postępy i stosują strategie, aby utrzymać zaangażowanie i motywację. Wreszcie, w fazie autorefleksji uczniowie oceniają swoje wyniki, co pozytywnie lub negatywnie wpłynie na ich późniejsze wyniki. (Zimmerman &amp; Moylen, 2009; Panadero, 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Kompetencja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Ogólne stwierdzenie opisujące pożądaną wiedzę, umiejętności i zachowania ucznia kończącego program (lub kończącego kurs).Kompetencje powszechnie definiują stosowane umiejętności i wiedzę, które umożliwiają ludziom skuteczne działanie w kontekście zawodowym, edukacyjnym i innych kontekstach życiowych (Gosselin, 2020).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Efekt uczenia się: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Konkretne stwierdzenie, które opisuje dokładnie to, co uczeń będzie w stanie zrobić w jakiś mierzalny sposób. Dla danej kompetencji może być zdefiniowany więcej niż jeden mierzalny wynik (Gosselin, 2020).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Obecność społeczna: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Według Rourke i in. (2001, s. 51) „obecność społeczna to zdolność uczniów do projekcji swoich cech osobistych na społeczność dociekań, tym samym przedstawiając się jako „prawdziwi ludzie”.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Samoregulujące uczenie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- Analityka uczenia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MOOC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masowy, otwarty kurs internetowy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 - Panel analityki edukacyjnej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VLE - Wirtualne środowisko uczenia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LMS - System zarządzania uczeniem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Dowody cyfrowe - informacje i dane mające wartość dla dochodzenia, które są przechowywane, odbierane lub przesyłane przez urządzenie elektroniczne (Electronic CSI,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Metapoznanie - krytyczny element udanego uczenia się, który obejmuje samoregulację i autorefleksję procesu uczenia się oraz kontroluje procesy myślenia (Medina i in., 2017).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40" w:before="4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Strategie nauczania i uczenia się - techniki i metody, które nauczyciel stosuje w celu wspierania uczenia się uczniów. Skuteczne strategie nauczania obejmują wstępne planowanie,nakreślenie celów uczenia się i kryteriów sukcesu oraz konsekwentne dostarczanie informacji zwrotnych (Maine, N/A; NSW Government, 2022).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qj7wftsyi056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Strategie i zalecenia dotyczące projektowania strategii uczenia się i oceny, które generują dowody cyfrowe, aby pomóc uczniom w planowaniu własnej nauki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Pedagogiczny  punkt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widzenia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Zaplanuj i zdecyduj z wyprzedzeniem, które narzędzia i działania Moodle są ważne i muszą być wykorzystane w kursie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Jasno wyjaśnij efekty i cele uczenia się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Używaj częstych pytań, aby sprawdzić zrozumienie podczas lekcji/kursu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Zaprojektuj działania edukacyjne, które wspierają współpracę i korzystanie z narzędzi cyfrowych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Podsumowanie nowych treści nauczania, które mają zostać nabyte w sposób graficzny (infografiki, diagramy Venna, mapy myśli, schematy blokowe)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Zachęcaj uczniów do zaangażowania, prezentując materiały edukacyjne w różnych formatach (tekstowych, wideo, audio), aby odzwierciedlić ich różne style uczenia się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Sprzyjanie informacji zwrotnej oraz rówieśniczej informacji zwrotnej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Wspieranie współpracy studentów i współtworzenie artefaktów edukacyjnych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 się strategii leżących u podstaw wykonywania zadań, a nie tylko treści (nawiązywanie połączeń, samowerbalizacja, rozwiązywanie problemów)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Pielęgnuj meta-poznanie (uczniowie muszą myśleć o skuteczności swoich wyborów edukacyjnych i dowiedzieć się, jak je poprawić, aby osiągnąć lepsze wyniki).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Techniczny punkt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widzenia </w:t>
      </w:r>
      <w:r w:rsidDel="00000000" w:rsidR="00000000" w:rsidRPr="00000000">
        <w:rPr>
          <w:rtl w:val="0"/>
        </w:rPr>
        <w:t xml:space="preserve">  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 aktywność przypisania (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 dotyczący aktywności przypisania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 działanie sprzężenia zwrotnego (może być używane jako narzędzie do oceny podsumowującej, informacji zwrotnej, selekcji itp.) (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 dotyczący działania sprzężenia zwrotnego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 efekty uczenia się wykorzystane w kursie (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 na temat dodawania efektów uczenia się)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Aktywuj forum dyskusyjne (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 aktywności forum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Aktywuj śledzenie ukończenia aktywności (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 dotyczący ukończenia aktywności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Powiązanie działań edukacyjnych z efektami uczenia się (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samouczek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Sprawdź interaktywne możliwości metapoznania i refleksji zapewniane przez VLE (np. Portfolio uczniów).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Sprawdź możliwości zapewniane przez fora w zakresie przekazywania informacji zwrotnych.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Sprawdź różne rozwiązania techniczne, a także narzędzia do współtworzenia (np. wiki) dostarczone przez VLE.</w:t>
      </w:r>
    </w:p>
    <w:p w:rsidR="00000000" w:rsidDel="00000000" w:rsidP="00000000" w:rsidRDefault="00000000" w:rsidRPr="00000000" w14:paraId="0000003C">
      <w:pPr>
        <w:keepNext w:val="1"/>
        <w:keepLines w:val="1"/>
        <w:spacing w:after="240" w:before="240" w:line="36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r7u8nafcelru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Źródła: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CSI, A Guide for First Responder, 2nd edition, National Institute of Justice, April 2008. 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https://nij.ojp.gov/digital-evidence-and-forensics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Emplit, P. i Zhang, T. (2020).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Evidence-based approaches to learning and teaching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Learning and Teaching Paper #11, Thematic peer group report,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EUA. https://eua.eu/downloads/publications/eua%%20e 20reportvidence-based%20approaches_web.pdf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Griffith, R., Bauml, M. i Quebec-Fuentes, S. (2016). Promowanie podejmowania decyzji metapoznawczych w kształceniu nauczycieli.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Teoria w praktyce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(3), 242–249.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https://doi.org/10.1080/00405841.2016.1173997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Gosselin, D. (2020). Kompetencje i efekty uczenia się. InTerGate.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https://serc.carleton.edu/integrate/programs/workforceprep/competencies_and_LO.html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Medina, M. S., Castleberry, A. N. i Persky, A. M. (2017). Strategie poprawy metapoznania ucznia w kształceniu zawodowym w zakresie zdrowia. American Journal of Pharmaceutical Education, 81(4), 1–14.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https://doi.org/10.5688/ajpe81478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NSW Government and The Learning bar (2022). Strategie nauczania.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https://education.nsw.gov.au/student-wellbeing/tell-them-from-me/accessing-and-using-tell-them-from-me-data/tell-them-from-me-measures/teaching-strategies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Maine, P. (nd.). Strategie nauczania i uczenia się: Przewodnik po klasie. 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https://www.structural-learning.com/post/teaching-and-learning-strategies-a-classroom-guide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Panadero, E. (2017). Przegląd samoregulującego się uczenia się: sześć modeli i cztery kierunki badań.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Front.Psychol.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8.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 https://doi.org/10.3389/fpsyg.2017.00422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Rourke, L., Anderson, T., Archer W., Garrison, D.R. (2001). Ocena obecności społecznej w asynchronicznych, tekstowych konferencjach komputerowych. Journal of Distance Education, 14, s. 51-70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Zimmerman, B. J. (2000). Osiągnięcie samoregulacji: społeczna perspektywa poznawcza. W M. Boekaerts, P. R., Pintrich i M. Zeidner (red.),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Handbook of self-regulation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(s. 13-39). Prasa akademicka.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https://doi.org/10.1016/B978-012109890-2/50031-7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Zimmerman, B. J. i Moylan, A. R. (2009). Samoregulacja: gdzie przecinają się metapoznanie i motywacja. W: D. J. Hacker, J. Dunlosky, &amp; A. C. Graesser (red.),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Handbook of Metacognition in 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(s. 299–315). Routledge/Taylor &amp; Francis Group.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Volungeviciene, A., Tereseviciene, M. i Trepule, E. (2021). Learning Analytics: metapoznawcze narzędzie do angażowania studentów. Badanie Sciendo.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 https://doi.org/10.2478/9788366675643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default"/>
      <w:footerReference r:id="rId27" w:type="first"/>
      <w:footerReference r:id="rId28" w:type="even"/>
      <w:pgSz w:h="15840" w:w="12240" w:orient="portrait"/>
      <w:pgMar w:bottom="1440" w:top="1440" w:left="14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</w:rPr>
      <w:drawing>
        <wp:inline distB="114300" distT="114300" distL="114300" distR="114300">
          <wp:extent cx="1063113" cy="190500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2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3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Creative Commons Attribution-ShareAlike 4.0 International 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Training Material for HE Teachers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28583</wp:posOffset>
          </wp:positionV>
          <wp:extent cx="2033588" cy="430182"/>
          <wp:effectExtent b="0" l="0" r="0" t="0"/>
          <wp:wrapNone/>
          <wp:docPr id="4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4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UOC_VMU</w:t>
    </w:r>
  </w:p>
  <w:p w:rsidR="00000000" w:rsidDel="00000000" w:rsidP="00000000" w:rsidRDefault="00000000" w:rsidRPr="00000000" w14:paraId="00000054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rsid w:val="00DB24DF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</w:rPr>
  </w:style>
  <w:style w:type="paragraph" w:styleId="Nagwek">
    <w:name w:val="header"/>
    <w:basedOn w:val="Normalny"/>
    <w:link w:val="Nagwek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21E87"/>
  </w:style>
  <w:style w:type="paragraph" w:styleId="Stopka">
    <w:name w:val="footer"/>
    <w:basedOn w:val="Normalny"/>
    <w:link w:val="StopkaZnak"/>
    <w:uiPriority w:val="99"/>
    <w:unhideWhenUsed w:val="1"/>
    <w:rsid w:val="00A21E87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21E87"/>
  </w:style>
  <w:style w:type="paragraph" w:styleId="Akapitzlist">
    <w:name w:val="List Paragraph"/>
    <w:basedOn w:val="Normalny"/>
    <w:uiPriority w:val="34"/>
    <w:qFormat w:val="1"/>
    <w:rsid w:val="00420F85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420F85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420F85"/>
  </w:style>
  <w:style w:type="character" w:styleId="ref-lnk" w:customStyle="1">
    <w:name w:val="ref-lnk"/>
    <w:basedOn w:val="Domylnaczcionkaakapitu"/>
    <w:rsid w:val="00721C9E"/>
  </w:style>
  <w:style w:type="character" w:styleId="singlehighlightclass" w:customStyle="1">
    <w:name w:val="single_highlight_class"/>
    <w:basedOn w:val="Domylnaczcionkaakapitu"/>
    <w:rsid w:val="00721C9E"/>
  </w:style>
  <w:style w:type="character" w:styleId="searchnone" w:customStyle="1">
    <w:name w:val="searchnone"/>
    <w:basedOn w:val="Domylnaczcionkaakapitu"/>
    <w:rsid w:val="0039043D"/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4649F"/>
    <w:rPr>
      <w:rFonts w:ascii="Segoe UI" w:cs="Segoe UI" w:hAnsi="Segoe UI"/>
      <w:sz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4649F"/>
    <w:rPr>
      <w:rFonts w:ascii="Segoe UI" w:cs="Segoe UI" w:hAnsi="Segoe UI"/>
      <w:sz w:val="18"/>
    </w:rPr>
  </w:style>
  <w:style w:type="paragraph" w:styleId="P68B1DB1-Normalny1" w:customStyle="1">
    <w:name w:val="P68B1DB1-Normalny1"/>
    <w:basedOn w:val="Normalny"/>
    <w:rPr>
      <w:rFonts w:ascii="Calibri" w:cs="Calibri" w:eastAsia="Calibri" w:hAnsi="Calibri"/>
      <w:b w:val="1"/>
      <w:color w:val="000000"/>
      <w:sz w:val="40"/>
    </w:rPr>
  </w:style>
  <w:style w:type="paragraph" w:styleId="P68B1DB1-Normalny2" w:customStyle="1">
    <w:name w:val="P68B1DB1-Normalny2"/>
    <w:basedOn w:val="Normalny"/>
    <w:rPr>
      <w:rFonts w:ascii="Calibri" w:cs="Calibri" w:eastAsia="Calibri" w:hAnsi="Calibri"/>
      <w:color w:val="000000"/>
      <w:sz w:val="32"/>
    </w:rPr>
  </w:style>
  <w:style w:type="paragraph" w:styleId="P68B1DB1-Normalny3" w:customStyle="1">
    <w:name w:val="P68B1DB1-Normalny3"/>
    <w:basedOn w:val="Normalny"/>
    <w:rPr>
      <w:rFonts w:ascii="Calibri" w:cs="Calibri" w:eastAsia="Calibri" w:hAnsi="Calibri"/>
    </w:rPr>
  </w:style>
  <w:style w:type="paragraph" w:styleId="P68B1DB1-Normalny4" w:customStyle="1">
    <w:name w:val="P68B1DB1-Normalny4"/>
    <w:basedOn w:val="Normalny"/>
    <w:rPr>
      <w:rFonts w:ascii="Calibri" w:cs="Calibri" w:eastAsia="Calibri" w:hAnsi="Calibri"/>
      <w:b w:val="1"/>
    </w:rPr>
  </w:style>
  <w:style w:type="paragraph" w:styleId="P68B1DB1-Normalny5" w:customStyle="1">
    <w:name w:val="P68B1DB1-Normalny5"/>
    <w:basedOn w:val="Normalny"/>
    <w:rPr>
      <w:rFonts w:ascii="Calibri" w:cs="Calibri" w:eastAsia="Calibri" w:hAnsi="Calibri"/>
      <w:highlight w:val="white"/>
    </w:rPr>
  </w:style>
  <w:style w:type="paragraph" w:styleId="P68B1DB1-Normalny6" w:customStyle="1">
    <w:name w:val="P68B1DB1-Normalny6"/>
    <w:basedOn w:val="Normalny"/>
    <w:rPr>
      <w:i w:val="1"/>
      <w:sz w:val="20"/>
    </w:rPr>
  </w:style>
  <w:style w:type="paragraph" w:styleId="P68B1DB1-Normalny7" w:customStyle="1">
    <w:name w:val="P68B1DB1-Normalny7"/>
    <w:basedOn w:val="Normalny"/>
    <w:rPr>
      <w:color w:val="000000"/>
    </w:rPr>
  </w:style>
  <w:style w:type="paragraph" w:styleId="P68B1DB1-Normalny8" w:customStyle="1">
    <w:name w:val="P68B1DB1-Normalny8"/>
    <w:basedOn w:val="Normalny"/>
    <w:rPr>
      <w:rFonts w:ascii="Times" w:cs="Times" w:eastAsia="Times" w:hAnsi="Times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ructural-learning.com/post/teaching-and-learning-strategies-a-classroom-guide" TargetMode="External"/><Relationship Id="rId22" Type="http://schemas.openxmlformats.org/officeDocument/2006/relationships/hyperlink" Target="https://psycnet.apa.org/doi/10.1016/B978-012109890-2/50031-7" TargetMode="External"/><Relationship Id="rId21" Type="http://schemas.openxmlformats.org/officeDocument/2006/relationships/hyperlink" Target="https://doi.org/10.3389/fpsyg.2017.00422" TargetMode="External"/><Relationship Id="rId24" Type="http://schemas.openxmlformats.org/officeDocument/2006/relationships/header" Target="header2.xml"/><Relationship Id="rId23" Type="http://schemas.openxmlformats.org/officeDocument/2006/relationships/hyperlink" Target="https://doi.org/10.2478/978836667564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moodle.org/400/en/Feedback_activity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8" Type="http://schemas.openxmlformats.org/officeDocument/2006/relationships/footer" Target="foot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https://docs.moodle.org/400/en/Assignment_activity" TargetMode="External"/><Relationship Id="rId11" Type="http://schemas.openxmlformats.org/officeDocument/2006/relationships/hyperlink" Target="https://docs.moodle.org/400/en/Forum_activity" TargetMode="External"/><Relationship Id="rId10" Type="http://schemas.openxmlformats.org/officeDocument/2006/relationships/hyperlink" Target="https://docs.moodle.org/400/en/Outcomes" TargetMode="External"/><Relationship Id="rId13" Type="http://schemas.openxmlformats.org/officeDocument/2006/relationships/hyperlink" Target="https://www.youtube.com/watch?v=LCYbjmqyLbg" TargetMode="External"/><Relationship Id="rId12" Type="http://schemas.openxmlformats.org/officeDocument/2006/relationships/hyperlink" Target="https://docs.moodle.org/311/en/Tracking_progress#Activity_completion" TargetMode="External"/><Relationship Id="rId15" Type="http://schemas.openxmlformats.org/officeDocument/2006/relationships/hyperlink" Target="https://eua.eu/downloads/publications/eua%20report%20evidence-based%20approaches_web.pdf" TargetMode="External"/><Relationship Id="rId14" Type="http://schemas.openxmlformats.org/officeDocument/2006/relationships/hyperlink" Target="https://nij.ojp.gov/digital-evidence-and-forensics" TargetMode="External"/><Relationship Id="rId17" Type="http://schemas.openxmlformats.org/officeDocument/2006/relationships/hyperlink" Target="https://serc.carleton.edu/integrate/programs/workforceprep/competencies_and_LO.html" TargetMode="External"/><Relationship Id="rId16" Type="http://schemas.openxmlformats.org/officeDocument/2006/relationships/hyperlink" Target="https://doi.org/10.1080/00405841.2016.1173997" TargetMode="External"/><Relationship Id="rId19" Type="http://schemas.openxmlformats.org/officeDocument/2006/relationships/hyperlink" Target="https://education.nsw.gov.au/student-wellbeing/tell-them-from-me/accessing-and-using-tell-them-from-me-data/tell-them-from-me-measures/teaching-strategies" TargetMode="External"/><Relationship Id="rId18" Type="http://schemas.openxmlformats.org/officeDocument/2006/relationships/hyperlink" Target="https://doi.org/10.5688/ajpe8147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teacamp.vdu.lt/course/view.php?id=91" TargetMode="External"/><Relationship Id="rId3" Type="http://schemas.openxmlformats.org/officeDocument/2006/relationships/hyperlink" Target="http://creativecommons.org/licenses/by-sa/4.0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7rcB3LU86HJwwCdpYutV7m8Vjw==">CgMxLjAyCGguZ2pkZ3hzMg5oLm00MXFsMHdncXVhaTIOaC5kY241eGpoZDdwZ2wyDmgueDd5OW1ocTR0OGFjMg5oLnkxYWZucWgxeGMyYzIOaC56N2N6aXloNDhqcG0yDmgucWo3d2Z0c3lpMDU2Mg5oLnI3dThuYWZjZWxydTgAciExNjhGcDRualBNTVNWM19qS3I0YmZFeFI1TjVhT1pHMUc=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2023-01-31T11:28:00Z</dcterms:created>
  <dc:creator>US</dc:creator>
</cp:coreProperties>
</file>