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Rozdział 1 Projektowanie opartych na dowodach strategii nauczania i uczenia się, które sprzyjają samoregulacji uczenia się w VLE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m41ql0wgquai" w:id="1"/>
      <w:bookmarkEnd w:id="1"/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</w:rPr>
        <w:drawing>
          <wp:inline distB="114300" distT="114300" distL="114300" distR="114300">
            <wp:extent cx="4814888" cy="3212387"/>
            <wp:effectExtent b="0" l="0" r="0" t="0"/>
            <wp:docPr id="4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4888" cy="3212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cn5xjhd7pgl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Wprowadzenie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projektowaniu opartych na dowodach strategii nauczania i uczenia się ważne jest nie tylko mówienie o tym, jakie dane można gromadzić, ale także skupienie się na tym, jak projektować nauczanie i uczenie się w sposób wspierający uczenie się metapoznawcze uczniów. Wiedza o tym, które strategie metapoznawcze wspierają zaangażowanie uczniów, wydajność i samoregulację uczenia się, może pomóc w podjęciu decyzji, które narzędzia wykorzystać do gromadzenia cyfrowych dowodów na temat zachowania uczniów.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Dobra analityka uczenia się zaczyna się od myślenia o tym, jak konfigurowane są działania i narzędzia oraz w jaki sposób będą generować dowody i dane, które mogą informować o nauczaniu i uczeniu się. Ta faza projektowania uczenia się odnosi się do strategii planowania gromadzenia danych, tj. Kiedy nauczyciele planują i rozwijają swój program nauczania i kurs. Podczas projektowania kursu nauczyciel powinien wstępnie zaplanować działania, zadania, oceny, zasoby edukacyjne i narzędzia, które wygenerują dane o postępach uczniów i pozwolą podnieść świadomość nauczycieli i uczniów na temat procesu uczenia się i postępów.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rozdziale pokażemy, jak zaprojektować metapoznawcze strategie nauczania i uczenia się (1.1.), Jak ustawić ustawienia zajęć szkoleniowych, aby śledzić zaangażowanie uczniów (1.2.), A na koniec, jak wybrać i osadzić narzędzia cyfrowe, które przechwytują dane o postępach ucznia (1.3.). 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x7y9mhq4t8ac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Tematy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Jak zaprojektować metapoznawcze strategie nauczania i uczenia się?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Jak ustawić ustawienia zajęć kursowych, aby śledzić zaangażowanie uczniów?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Jak wybrać i osadzić narzędzia cyfrowe, które przechwytują dane o postępach ucznia?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y1afnqh1xc2c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Wyniki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Projektowanie metapoznawczych strategii nauczania i uczenia się, które ułatwiają zaangażowanie uczniów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Wybieranie i konfigurowanie narzędzi wspierających działania związane z uczeniem się metapoznawczym oraz generowanie danych dotyczących projektowania uczenia się lub postępów w nauce.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 w celu zapewnienia ukierunkowanych i terminowych informacji zwrotnych dla uczniów.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 z technologii cyfrowych (np. blogi, pamiętniki, narzędzia planowania), aby umożliwić uczniom planowanie nauki.</w:t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7cziyh48jpm" w:id="5"/>
      <w:bookmarkEnd w:id="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Definicje (słowniczek Moodle 'a)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 kontekście tej struktury dane to informacje, które zbieramy o studentach. Może pochodzić z</w:t>
      </w:r>
      <w:r w:rsidDel="00000000" w:rsidR="00000000" w:rsidRPr="00000000">
        <w:rPr>
          <w:rtl w:val="0"/>
        </w:rPr>
        <w:t xml:space="preserve">  formularzy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  <w:t xml:space="preserve">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testów, interakcji uczniów z zasobami edukacyjnymi lub działaniami itp.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Umiejętność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krytycznego wyszukiwania, oceniania i odczytywania danych, często wykraczająca poza ich formę liczbową i ilościową. Analiza uczenia się koncentruje się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gromadzeniu i  generowaniu danych uczniów w celu poprawy nauczania i uczenia się. Zależy to jednak od umiejętności cyfrowych nauczycieli i uczniów, niezależnie od tego, czy dane generowane w LA informują o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nauczaniu i uczeniu się, czy nie.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Uczenie się i nauczanie oparte na dowodach (EBLT):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Uczenie się i nauczanie oparte na dowodach, zgodnie z opisem w sprawozdaniu EUA, obejmuje kilka kroków: (1) decyzja dotycząca pytania do rozwiązania, (2) gromadzenie i analiza dowodów, (3) projektowanie, cele i wskaźniki oceny, (4) wdrażanie i praktyka, (5) podejmowanie decyzji w oparciu o dowody w celu poprawy procesu (Emplit &amp; Zhang, 2020).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Analityki uczenia się (LA)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narzędziem do oceny, interpretacji i analizy danych generowanych przez uczących się  w środowisku uczenia się online, aby procesy uczenia się i nauczania były bardziej wydajne przez nauczyciela w zakresie interwencji potrzebnych do doradztwa lub konsultacji z uczniami w odpowiednim czasie, aby zwiększyć ich sukces akademicki. (Volungeviciene et al., 2021, 12). Istnieją cztery główne kategorie analityki uczenia się: (1) opisowa (co się stało?)prognozowanie (co będzie dalej?)diagnostyka (dlaczego tak się stało?) nakazowe (zrób to, aby poprawić)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Podejmowanie decyzji metapoznawczych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świadomość konkretnych decyzji dotyczących projektowania nauczania i uczenia się oraz przyczyny tych decyzji (Griffith i in., 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Samoregulujące się uczenie się: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Samoregulujące się uczenie się jest ważnym pojęciem ramowym, które obejmuje kilka aspektów uczenia się: poznawcze, metapoznawcze, behawioralne, motywacyjne i emocjonalne (Panadero, 2017). Zimmerman (2000) opracował model faz cyklicznych SRL podzielony na trzy fazy: (1) przezorność, (2) wydajność i (3) autorefleksja. W pierwszej fazie uczniowie wyznaczają swoje cele, aktywują strategie uczenia się i próbują osiągnąć swoje cele; w fazie wydajności wykonują zadanie, monitorują swoje postępy i stosują strategie, aby utrzymać zaangażowanie i motywację. Wreszcie, w fazie autorefleksji uczniowie oceniają swoje wyniki, co pozytywnie lub negatywnie wpłynie na ich późniejsze wyniki. (Zimmerman &amp; Moylen, 2009; Panadero, 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Kompetencja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Ogólne stwierdzenie opisujące pożądaną wiedzę, umiejętności i zachowania ucznia kończącego program (lub kończącego kurs).Kompetencje powszechnie definiują stosowane umiejętności i wiedzę, które umożliwiają ludziom skuteczne działanie w kontekście zawodowym, edukacyjnym i innych kontekstach życiowych (Gosselin, 2020).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Efekt uczenia się: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Konkretne stwierdzenie, które opisuje dokładnie to, co uczeń będzie w stanie zrobić w jakiś mierzalny sposób. Dla danej kompetencji może być zdefiniowany więcej niż jeden mierzalny wynik (Gosselin, 2020).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Obecność społeczna: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Według Rourke i in. (2001, s. 51) „obecność społeczna to zdolność uczniów do projekcji swoich cech osobistych na społeczność dociekań, tym samym przedstawiając się jako „prawdziwi ludzie”.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Samoregulujące uczenie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- Analityka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MOOC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masowy, otwarty kurs internetowy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LAD - Panel analityki edukacyjnej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VLE - Wirtualne środowisko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LMS - System zarządzania uczeniem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Dowody cyfrowe - informacje i dane mające wartość dla dochodzenia, które są przechowywane, odbierane lub przesyłane przez urządzenie elektroniczne (Electronic CSI, 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Metapoznanie - krytyczny element udanego uczenia się, który obejmuje samoregulację i autorefleksję procesu uczenia się oraz kontroluje procesy myślenia (Medina i in., 2017).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40" w:before="4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Strategie nauczania i uczenia się - techniki i metody, które nauczyciel stosuje w celu wspierania uczenia się uczniów. Skuteczne strategie nauczania obejmują wstępne planowanie,nakreślenie celów uczenia się i kryteriów sukcesu oraz konsekwentne dostarczanie informacji zwrotnych (Maine, N/A; NSW Government, 2022).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qj7wftsyi056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Strategie i zalecenia dotyczące projektowania strategii uczenia się i oceny, które generują dowody cyfrowe, aby pomóc uczniom w planowaniu własnej nauki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Pedagogiczny  punkt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widzenia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Zaplanuj i zdecyduj z wyprzedzeniem, które narzędzia i działania Moodle są ważne i muszą być wykorzystane w kursie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Jasno wyjaśnij efekty i cele uczenia się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Używaj częstych pytań, aby sprawdzić zrozumienie podczas lekcji/kursu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Zaprojektuj działania edukacyjne, które wspierają współpracę i korzystanie z narzędzi cyfrowych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Podsumowanie nowych treści nauczania, które mają zostać nabyte w sposób graficzny (infografiki, diagramy Venna, mapy myśli, schematy blokowe)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Zachęcaj uczniów do zaangażowania, prezentując materiały edukacyjne w różnych formatach (tekstowych, wideo, audio), aby odzwierciedlić ich różne style uczenia się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Sprzyjanie informacji zwrotnej oraz rówieśniczej informacji zwrotnej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współpracy studentów i współtworzenie artefaktów edukacyjnych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 się strategii leżących u podstaw wykonywania zadań, a nie tylko treści (nawiązywanie połączeń, samowerbalizacja, rozwiązywanie problemów)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Pielęgnuj meta-poznanie (uczniowie muszą myśleć o skuteczności swoich wyborów edukacyjnych i dowiedzieć się, jak je poprawić, aby osiągnąć lepsze wyniki).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Techniczny punkt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widzenia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Dodaj aktywność przypisania (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 dotyczący aktywności przypisania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Dodaj działanie sprzężenia zwrotnego (może być używane jako narzędzie do oceny podsumowującej, informacji zwrotnej, selekcji itp.) (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 dotyczący działania sprzężenia zwrotnego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Dodaj efekty uczenia się wykorzystane w kursie (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 na temat dodawania efektów uczenia się)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Aktywuj forum dyskusyjne (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 aktywności forum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Aktywuj śledzenie ukończenia aktywności (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 dotyczący ukończenia aktywności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Powiązanie działań edukacyjnych z efektami uczenia się (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samouczek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Sprawdź interaktywne możliwości metapoznania i refleksji zapewniane przez VLE (np. Portfolio uczniów).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Sprawdź możliwości zapewniane przez fora w zakresie przekazywania informacji zwrotnych.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Sprawdź różne rozwiązania techniczne, a także narzędzia do współtworzenia (np. wiki) dostarczone przez VLE.</w:t>
      </w:r>
    </w:p>
    <w:p w:rsidR="00000000" w:rsidDel="00000000" w:rsidP="00000000" w:rsidRDefault="00000000" w:rsidRPr="00000000" w14:paraId="0000003C">
      <w:pPr>
        <w:keepNext w:val="1"/>
        <w:keepLines w:val="1"/>
        <w:spacing w:after="240" w:before="240" w:line="36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r7u8nafcelru" w:id="7"/>
      <w:bookmarkEnd w:id="7"/>
      <w:r w:rsidDel="00000000" w:rsidR="00000000" w:rsidRPr="00000000">
        <w:rPr>
          <w:rFonts w:ascii="Calibri" w:cs="Calibri" w:eastAsia="Calibri" w:hAnsi="Calibri"/>
          <w:rtl w:val="0"/>
        </w:rPr>
        <w:t xml:space="preserve">Źródła: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CSI, A Guide for First Responder, 2nd edition, National Institute of Justice, April 2008.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https://nij.ojp.gov/digital-evidence-and-forensics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Emplit, P. i Zhang, T. (2020).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Evidence-based approaches to learning and teaching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Learning and Teaching Paper #11, Thematic peer group report,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EUA. https://eua.eu/downloads/publications/eua%%20e 20reportvidence-based%20approaches_web.pdf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Griffith, R., Bauml, M. i Quebec-Fuentes, S. (2016). Promowanie podejmowania decyzji metapoznawczych w kształceniu nauczycieli.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Teoria w praktyce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(3), 242–249.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https://doi.org/10.1080/00405841.2016.1173997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Gosselin, D. (2020). Kompetencje i efekty uczenia się. InTerGate.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https://serc.carleton.edu/integrate/programs/workforceprep/competencies_and_LO.html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Medina, M. S., Castleberry, A. N. i Persky, A. M. (2017). Strategie poprawy metapoznania ucznia w kształceniu zawodowym w zakresie zdrowia. American Journal of Pharmaceutical Education, 81(4), 1–14.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https://doi.org/10.5688/ajpe81478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NSW Government and The Learning bar (2022). Strategie nauczania.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https://education.nsw.gov.au/student-wellbeing/tell-them-from-me/accessing-and-using-tell-them-from-me-data/tell-them-from-me-measures/teaching-strategies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Maine, P. (nd.). Strategie nauczania i uczenia się: Przewodnik po klasie. 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https://www.structural-learning.com/post/teaching-and-learning-strategies-a-classroom-guide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Panadero, E. (2017). Przegląd samoregulującego się uczenia się: sześć modeli i cztery kierunki badań.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Front.Psychol.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8.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https://doi.org/10.3389/fpsyg.2017.00422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Rourke, L., Anderson, T., Archer W., Garrison, D.R. (2001). Ocena obecności społecznej w asynchronicznych, tekstowych konferencjach komputerowych. Journal of Distance Education, 14, s. 51-70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Zimmerman, B. J. (2000). Osiągnięcie samoregulacji: społeczna perspektywa poznawcza. W M. Boekaerts, P. R., Pintrich i M. Zeidner (red.),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Handbook of self-regulation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(s. 13-39). Prasa akademicka. </w:t>
      </w: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https://doi.org/10.1016/B978-012109890-2/50031-7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Zimmerman, B. J. i Moylan, A. R. (2009). Samoregulacja: gdzie przecinają się metapoznanie i motywacja. W: D. J. Hacker, J. Dunlosky, &amp; A. C. Graesser (red.),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Handbook of Metacognition in Education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(s. 299–315). Routledge/Taylor &amp; Francis Group.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Volungeviciene, A., Tereseviciene, M. i Trepule, E. (2021). Learning Analytics: metapoznawcze narzędzie do angażowania studentów. Badanie Sciendo. 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 https://doi.org/10.2478/9788366675643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footerReference r:id="rId26" w:type="default"/>
      <w:footerReference r:id="rId27" w:type="first"/>
      <w:footerReference r:id="rId28" w:type="even"/>
      <w:pgSz w:h="15840" w:w="12240" w:orient="portrait"/>
      <w:pgMar w:bottom="1440" w:top="1440" w:left="144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</w:rPr>
      <w:drawing>
        <wp:inline distB="114300" distT="114300" distL="114300" distR="114300">
          <wp:extent cx="1063113" cy="190500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3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4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UOC_VMU</w:t>
    </w:r>
  </w:p>
  <w:p w:rsidR="00000000" w:rsidDel="00000000" w:rsidP="00000000" w:rsidRDefault="00000000" w:rsidRPr="00000000" w14:paraId="00000054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4649F"/>
    <w:rPr>
      <w:rFonts w:ascii="Segoe UI" w:cs="Segoe UI" w:hAnsi="Segoe UI"/>
      <w:sz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4649F"/>
    <w:rPr>
      <w:rFonts w:ascii="Segoe UI" w:cs="Segoe UI" w:hAnsi="Segoe UI"/>
      <w:sz w:val="18"/>
    </w:rPr>
  </w:style>
  <w:style w:type="paragraph" w:styleId="P68B1DB1-Normalny1" w:customStyle="1">
    <w:name w:val="P68B1DB1-Normalny1"/>
    <w:basedOn w:val="Normalny"/>
    <w:rPr>
      <w:rFonts w:ascii="Calibri" w:cs="Calibri" w:eastAsia="Calibri" w:hAnsi="Calibri"/>
      <w:b w:val="1"/>
      <w:color w:val="000000"/>
      <w:sz w:val="40"/>
    </w:rPr>
  </w:style>
  <w:style w:type="paragraph" w:styleId="P68B1DB1-Normalny2" w:customStyle="1">
    <w:name w:val="P68B1DB1-Normalny2"/>
    <w:basedOn w:val="Normalny"/>
    <w:rPr>
      <w:rFonts w:ascii="Calibri" w:cs="Calibri" w:eastAsia="Calibri" w:hAnsi="Calibri"/>
      <w:color w:val="000000"/>
      <w:sz w:val="32"/>
    </w:rPr>
  </w:style>
  <w:style w:type="paragraph" w:styleId="P68B1DB1-Normalny3" w:customStyle="1">
    <w:name w:val="P68B1DB1-Normalny3"/>
    <w:basedOn w:val="Normalny"/>
    <w:rPr>
      <w:rFonts w:ascii="Calibri" w:cs="Calibri" w:eastAsia="Calibri" w:hAnsi="Calibri"/>
    </w:rPr>
  </w:style>
  <w:style w:type="paragraph" w:styleId="P68B1DB1-Normalny4" w:customStyle="1">
    <w:name w:val="P68B1DB1-Normalny4"/>
    <w:basedOn w:val="Normalny"/>
    <w:rPr>
      <w:rFonts w:ascii="Calibri" w:cs="Calibri" w:eastAsia="Calibri" w:hAnsi="Calibri"/>
      <w:b w:val="1"/>
    </w:rPr>
  </w:style>
  <w:style w:type="paragraph" w:styleId="P68B1DB1-Normalny5" w:customStyle="1">
    <w:name w:val="P68B1DB1-Normalny5"/>
    <w:basedOn w:val="Normalny"/>
    <w:rPr>
      <w:rFonts w:ascii="Calibri" w:cs="Calibri" w:eastAsia="Calibri" w:hAnsi="Calibri"/>
      <w:highlight w:val="white"/>
    </w:rPr>
  </w:style>
  <w:style w:type="paragraph" w:styleId="P68B1DB1-Normalny6" w:customStyle="1">
    <w:name w:val="P68B1DB1-Normalny6"/>
    <w:basedOn w:val="Normalny"/>
    <w:rPr>
      <w:i w:val="1"/>
      <w:sz w:val="20"/>
    </w:rPr>
  </w:style>
  <w:style w:type="paragraph" w:styleId="P68B1DB1-Normalny7" w:customStyle="1">
    <w:name w:val="P68B1DB1-Normalny7"/>
    <w:basedOn w:val="Normalny"/>
    <w:rPr>
      <w:color w:val="000000"/>
    </w:rPr>
  </w:style>
  <w:style w:type="paragraph" w:styleId="P68B1DB1-Normalny8" w:customStyle="1">
    <w:name w:val="P68B1DB1-Normalny8"/>
    <w:basedOn w:val="Normalny"/>
    <w:rPr>
      <w:rFonts w:ascii="Times" w:cs="Times" w:eastAsia="Times" w:hAnsi="Times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tructural-learning.com/post/teaching-and-learning-strategies-a-classroom-guide" TargetMode="External"/><Relationship Id="rId22" Type="http://schemas.openxmlformats.org/officeDocument/2006/relationships/hyperlink" Target="https://psycnet.apa.org/doi/10.1016/B978-012109890-2/50031-7" TargetMode="External"/><Relationship Id="rId21" Type="http://schemas.openxmlformats.org/officeDocument/2006/relationships/hyperlink" Target="https://doi.org/10.3389/fpsyg.2017.00422" TargetMode="External"/><Relationship Id="rId24" Type="http://schemas.openxmlformats.org/officeDocument/2006/relationships/header" Target="header2.xml"/><Relationship Id="rId23" Type="http://schemas.openxmlformats.org/officeDocument/2006/relationships/hyperlink" Target="https://doi.org/10.2478/978836667564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moodle.org/400/en/Feedback_activity" TargetMode="External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28" Type="http://schemas.openxmlformats.org/officeDocument/2006/relationships/footer" Target="footer2.xml"/><Relationship Id="rId27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docs.moodle.org/400/en/Assignment_activity" TargetMode="External"/><Relationship Id="rId11" Type="http://schemas.openxmlformats.org/officeDocument/2006/relationships/hyperlink" Target="https://docs.moodle.org/400/en/Forum_activity" TargetMode="External"/><Relationship Id="rId10" Type="http://schemas.openxmlformats.org/officeDocument/2006/relationships/hyperlink" Target="https://docs.moodle.org/400/en/Outcomes" TargetMode="External"/><Relationship Id="rId13" Type="http://schemas.openxmlformats.org/officeDocument/2006/relationships/hyperlink" Target="https://www.youtube.com/watch?v=LCYbjmqyLbg" TargetMode="External"/><Relationship Id="rId12" Type="http://schemas.openxmlformats.org/officeDocument/2006/relationships/hyperlink" Target="https://docs.moodle.org/311/en/Tracking_progress#Activity_completion" TargetMode="External"/><Relationship Id="rId15" Type="http://schemas.openxmlformats.org/officeDocument/2006/relationships/hyperlink" Target="https://eua.eu/downloads/publications/eua%20report%20evidence-based%20approaches_web.pdf" TargetMode="External"/><Relationship Id="rId14" Type="http://schemas.openxmlformats.org/officeDocument/2006/relationships/hyperlink" Target="https://nij.ojp.gov/digital-evidence-and-forensics" TargetMode="External"/><Relationship Id="rId17" Type="http://schemas.openxmlformats.org/officeDocument/2006/relationships/hyperlink" Target="https://serc.carleton.edu/integrate/programs/workforceprep/competencies_and_LO.html" TargetMode="External"/><Relationship Id="rId16" Type="http://schemas.openxmlformats.org/officeDocument/2006/relationships/hyperlink" Target="https://doi.org/10.1080/00405841.2016.1173997" TargetMode="External"/><Relationship Id="rId19" Type="http://schemas.openxmlformats.org/officeDocument/2006/relationships/hyperlink" Target="https://education.nsw.gov.au/student-wellbeing/tell-them-from-me/accessing-and-using-tell-them-from-me-data/tell-them-from-me-measures/teaching-strategies" TargetMode="External"/><Relationship Id="rId18" Type="http://schemas.openxmlformats.org/officeDocument/2006/relationships/hyperlink" Target="https://doi.org/10.5688/ajpe8147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rcB3LU86HJwwCdpYutV7m8Vjw==">CgMxLjAyCGguZ2pkZ3hzMg5oLm00MXFsMHdncXVhaTIOaC5kY241eGpoZDdwZ2wyDmgueDd5OW1ocTR0OGFjMg5oLnkxYWZucWgxeGMyYzIOaC56N2N6aXloNDhqcG0yDmgucWo3d2Z0c3lpMDU2Mg5oLnI3dThuYWZjZWxydTgAciExNjhGcDRualBNTVNWM19qS3I0YmZFeFI1TjVhT1pHMUc=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2023-01-31T11:28:00Z</dcterms:created>
  <dc:creator>US</dc:creator>
</cp:coreProperties>
</file>