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Rozdział 1 Projektowanie opartych na dowodach strategii nauczania i uczenia się, które sprzyjają samoregulacji uczenia się w VLE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0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m41ql0wgquai" w:id="1"/>
      <w:bookmarkEnd w:id="1"/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</w:rPr>
        <w:drawing>
          <wp:inline distB="114300" distT="114300" distL="114300" distR="114300">
            <wp:extent cx="4814888" cy="3212387"/>
            <wp:effectExtent b="0" l="0" r="0" t="0"/>
            <wp:docPr id="4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3212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dcn5xjhd7pgl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Wprowadzenie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projektowaniu opartych na dowodach strategii nauczania i uczenia się ważne jest nie tylko mówienie o tym, jakie dane można gromadzić, ale także skupienie się na tym, jak projektować nauczanie i uczenie się w sposób wspierający uczenie się metapoznawcze uczniów. Wiedza o tym, które strategie metapoznawcze wspierają zaangażowanie uczniów, wydajność i samoregulację uczenia się, może pomóc w podjęciu decyzji, które narzędzia wykorzystać do gromadzenia cyfrowych dowodów na temat zachowania uczniów.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Dobra analityka uczenia się zaczyna się od myślenia o tym, jak konfigurowane są działania i narzędzia oraz w jaki sposób będą generować dowody i dane, które mogą informować o nauczaniu i uczeniu się. Ta faza projektowania uczenia się odnosi się do strategii planowania gromadzenia danych, tj. Kiedy nauczyciele planują i rozwijają swój program nauczania i kurs. Podczas projektowania kursu nauczyciel powinien wstępnie zaplanować działania, zadania, oceny, zasoby edukacyjne i narzędzia, które wygenerują dane o postępach uczniów i pozwolą podnieść świadomość nauczycieli i uczniów na temat procesu uczenia się i postępów.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tym rozdziale pokażemy, jak zaprojektować metapoznawcze strategie nauczania i uczenia się (1.1.), Jak ustawić ustawienia zajęć szkoleniowych, aby śledzić zaangażowanie uczniów (1.2.), A na koniec, jak wybrać i osadzić narzędzia cyfrowe, które przechwytują dane o postępach ucznia (1.3.). 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x7y9mhq4t8ac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Tematy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Jak zaprojektować metapoznawcze strategie nauczania i uczenia się?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Jak ustawić ustawienia zajęć kursowych, aby śledzić zaangażowanie uczniów?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Jak wybrać i osadzić narzędzia cyfrowe, które przechwytują dane o postępach ucznia?</w:t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y1afnqh1xc2c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Wyniki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Projektowanie metapoznawczych strategii nauczania i uczenia się, które ułatwiają zaangażowanie uczniów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Wybieranie i konfigurowanie narzędzi wspierających działania związane z uczeniem się metapoznawczym oraz generowanie danych dotyczących projektowania uczenia się lub postępów w nauce.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Wykorzystanie technologii cyfrowych w celu zapewnienia ukierunkowanych i terminowych informacji zwrotnych dla uczniów.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 z technologii cyfrowych (np. blogi, pamiętniki, narzędzia planowania), aby umożliwić uczniom planowanie nauki.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z7cziyh48jpm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Definicje (słowniczek Moodle 'a)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Dane: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 kontekście tej struktury dane to informacje, które zbieramy o studentach. Może pochodzić z</w:t>
      </w:r>
      <w:r w:rsidDel="00000000" w:rsidR="00000000" w:rsidRPr="00000000">
        <w:rPr>
          <w:rtl w:val="0"/>
        </w:rPr>
        <w:t xml:space="preserve">  formularzy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tl w:val="0"/>
        </w:rPr>
        <w:t xml:space="preserve"> 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testów, interakcji uczniów z zasobami edukacyjnymi lub działaniami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Umiejętność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krytycznego wyszukiwania, oceniania i odczytywania danych, często wykraczająca poza ich formę liczbową i ilościową. Analiza uczenia się koncentruje się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 gromadzeniu i  generowaniu danych uczniów w celu poprawy nauczania i uczenia się. Zależy to jednak od umiejętności cyfrowych nauczycieli i uczniów, niezależnie od tego, czy dane generowane w LA informują o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nauczaniu i uczeniu się, czy nie.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Uczenie się i nauczanie oparte na dowodach (EBLT):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Uczenie się i nauczanie oparte na dowodach, zgodnie z opisem w sprawozdaniu EUA, obejmuje kilka kroków: (1) decyzja dotycząca pytania do rozwiązania, (2) gromadzenie i analiza dowodów, (3) projektowanie, cele i wskaźniki oceny, (4) wdrażanie i praktyka, (5) podejmowanie decyzji w oparciu o dowody w celu poprawy procesu (Emplit &amp; Zhang, 2020).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Analityki uczenia się (LA)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narzędziem do oceny, interpretacji i analizy danych generowanych przez uczących się  w środowisku uczenia się online, aby procesy uczenia się i nauczania były bardziej wydajne przez nauczyciela w zakresie interwencji potrzebnych do doradztwa lub konsultacji z uczniami w odpowiednim czasie, aby zwiększyć ich sukces akademicki. (Volungeviciene et al., 2021, 12). Istnieją cztery główne kategorie analityki uczenia się: (1) opisowa (co się stało?)prognozowanie (co będzie dalej?)diagnostyka (dlaczego tak się stało?) nakazowe (zrób to, aby poprawić)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Podejmowanie decyzji metapoznawczych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świadomość konkretnych decyzji dotyczących projektowania nauczania i uczenia się oraz przyczyny tych decyzji (Griffith i in., 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Samoregulujące się uczenie się: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Samoregulujące się uczenie się jest ważnym pojęciem ramowym, które obejmuje kilka aspektów uczenia się: poznawcze, metapoznawcze, behawioralne, motywacyjne i emocjonalne (Panadero, 2017). Zimmerman (2000) opracował model faz cyklicznych SRL podzielony na trzy fazy: (1) przezorność, (2) wydajność i (3) autorefleksja. W pierwszej fazie uczniowie wyznaczają swoje cele, aktywują strategie uczenia się i próbują osiągnąć swoje cele; w fazie wydajności wykonują zadanie, monitorują swoje postępy i stosują strategie, aby utrzymać zaangażowanie i motywację. Wreszcie, w fazie autorefleksji uczniowie oceniają swoje wyniki, co pozytywnie lub negatywnie wpłynie na ich późniejsze wyniki. (Zimmerman &amp; Moylen, 2009; Panadero, 2017).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Kompetencja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Ogólne stwierdzenie opisujące pożądaną wiedzę, umiejętności i zachowania ucznia kończącego program (lub kończącego kurs).Kompetencje powszechnie definiują stosowane umiejętności i wiedzę, które umożliwiają ludziom skuteczne działanie w kontekście zawodowym, edukacyjnym i innych kontekstach życiowych (Gosselin, 2020).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Efekt uczenia się: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Konkretne stwierdzenie, które opisuje dokładnie to, co uczeń będzie w stanie zrobić w jakiś mierzalny sposób. Dla danej kompetencji może być zdefiniowany więcej niż jeden mierzalny wynik (Gosselin, 2020).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Obecność społeczna: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Według Rourke i in. (2001, s. 51) „obecność społeczna to zdolność uczniów do projekcji swoich cech osobistych na społeczność dociekań, tym samym przedstawiając się jako „prawdziwi ludzie”.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Samoregulujące uczenie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- Analityka uczenia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MOOC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masowy, otwarty kurs internetowy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 - Panel analityki edukacyjnej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VLE - Wirtualne środowisko uczenia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LMS - System zarządzania uczeniem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Dowody cyfrowe - informacje i dane mające wartość dla dochodzenia, które są przechowywane, odbierane lub przesyłane przez urządzenie elektroniczne (Electronic CSI, 2008).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Metapoznanie - krytyczny element udanego uczenia się, który obejmuje samoregulację i autorefleksję procesu uczenia się oraz kontroluje procesy myślenia (Medina i in., 2017).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40" w:before="4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Strategie nauczania i uczenia się - techniki i metody, które nauczyciel stosuje w celu wspierania uczenia się uczniów. Skuteczne strategie nauczania obejmują wstępne planowanie,nakreślenie celów uczenia się i kryteriów sukcesu oraz konsekwentne dostarczanie informacji zwrotnych (Maine, N/A; NSW Government, 2022).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qj7wftsyi056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Strategie i zalecenia dotyczące projektowania strategii uczenia się i oceny, które generują dowody cyfrowe, aby pomóc uczniom w planowaniu własnej nauki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Pedagogiczny  punkt 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widzenia 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Zaplanuj i zdecyduj z wyprzedzeniem, które narzędzia i działania Moodle są ważne i muszą być wykorzystane w kursie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Jasno wyjaśnij efekty i cele uczenia się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Używaj częstych pytań, aby sprawdzić zrozumienie podczas lekcji/kursu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Zaprojektuj działania edukacyjne, które wspierają współpracę i korzystanie z narzędzi cyfrowych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Podsumowanie nowych treści nauczania, które mają zostać nabyte w sposób graficzny (infografiki, diagramy Venna, mapy myśli, schematy blokowe)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Zachęcaj uczniów do zaangażowania, prezentując materiały edukacyjne w różnych formatach (tekstowych, wideo, audio), aby odzwierciedlić ich różne style uczenia się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Sprzyjanie informacji zwrotnej oraz rówieśniczej informacji zwrotnej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współpracy studentów i współtworzenie artefaktów edukacyjnych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 się strategii leżących u podstaw wykonywania zadań, a nie tylko treści (nawiązywanie połączeń, samowerbalizacja, rozwiązywanie problemów)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Pielęgnuj meta-poznanie (uczniowie muszą myśleć o skuteczności swoich wyborów edukacyjnych i dowiedzieć się, jak je poprawić, aby osiągnąć lepsze wyniki).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Techniczny punkt 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widzenia 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 aktywność przypisania (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samouczek dotyczący aktywności przypisania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 działanie sprzężenia zwrotnego (może być używane jako narzędzie do oceny podsumowującej, informacji zwrotnej, selekcji itp.) (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Samouczek dotyczący działania sprzężenia zwrotnego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 efekty uczenia się wykorzystane w kursie (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samouczek na temat dodawania efektów uczenia się)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Aktywuj forum dyskusyjne (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samouczek aktywności forum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Aktywuj śledzenie ukończenia aktywności (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samouczek dotyczący ukończenia aktywności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Powiązanie działań edukacyjnych z efektami uczenia się (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samouczek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Sprawdź interaktywne możliwości metapoznania i refleksji zapewniane przez VLE (np. Portfolio uczniów).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Sprawdź możliwości zapewniane przez fora w zakresie przekazywania informacji zwrotnych.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Sprawdź różne rozwiązania techniczne, a także narzędzia do współtworzenia (np. wiki) dostarczone przez VLE.</w:t>
      </w:r>
    </w:p>
    <w:p w:rsidR="00000000" w:rsidDel="00000000" w:rsidP="00000000" w:rsidRDefault="00000000" w:rsidRPr="00000000" w14:paraId="0000003C">
      <w:pPr>
        <w:keepNext w:val="1"/>
        <w:keepLines w:val="1"/>
        <w:spacing w:after="240" w:before="240" w:line="360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r7u8nafcelru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Źródła: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Electronic CSI, A Guide for First Responder, 2nd edition, National Institute of Justice, April 2008. </w:t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https://nij.ojp.gov/digital-evidence-and-forensics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Emplit, P. i Zhang, T. (2020).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Evidence-based approaches to learning and teaching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Learning and Teaching Paper #11, Thematic peer group report,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EUA. https://eua.eu/downloads/publications/eua%%20e 20reportvidence-based%20approaches_web.pdf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Griffith, R., Bauml, M. i Quebec-Fuentes, S. (2016). Promowanie podejmowania decyzji metapoznawczych w kształceniu nauczycieli.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Teoria w praktyce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(3), 242–249.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https://doi.org/10.1080/00405841.2016.1173997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Gosselin, D. (2020). Kompetencje i efekty uczenia się. InTerGate.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https://serc.carleton.edu/integrate/programs/workforceprep/competencies_and_LO.html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Medina, M. S., Castleberry, A. N. i Persky, A. M. (2017). Strategie poprawy metapoznania ucznia w kształceniu zawodowym w zakresie zdrowia. American Journal of Pharmaceutical Education, 81(4), 1–14.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https://doi.org/10.5688/ajpe81478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NSW Government and The Learning bar (2022). Strategie nauczania. 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https://education.nsw.gov.au/student-wellbeing/tell-them-from-me/accessing-and-using-tell-them-from-me-data/tell-them-from-me-measures/teaching-strategies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Maine, P. (nd.). Strategie nauczania i uczenia się: Przewodnik po klasie. 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https://www.structural-learning.com/post/teaching-and-learning-strategies-a-classroom-guide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Panadero, E. (2017). Przegląd samoregulującego się uczenia się: sześć modeli i cztery kierunki badań.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Front.Psychol.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8.</w:t>
      </w:r>
      <w:hyperlink r:id="rId21">
        <w:r w:rsidDel="00000000" w:rsidR="00000000" w:rsidRPr="00000000">
          <w:rPr>
            <w:rFonts w:ascii="Calibri" w:cs="Calibri" w:eastAsia="Calibri" w:hAnsi="Calibri"/>
            <w:rtl w:val="0"/>
          </w:rPr>
          <w:t xml:space="preserve"> https://doi.org/10.3389/fpsyg.2017.00422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Rourke, L., Anderson, T., Archer W., Garrison, D.R. (2001). Ocena obecności społecznej w asynchronicznych, tekstowych konferencjach komputerowych. Journal of Distance Education, 14, s. 51-70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Zimmerman, B. J. (2000). Osiągnięcie samoregulacji: społeczna perspektywa poznawcza. W M. Boekaerts, P. R., Pintrich i M. Zeidner (red.),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Handbook of self-regulation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(s. 13-39). Prasa akademicka. </w:t>
      </w:r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https://doi.org/10.1016/B978-012109890-2/50031-7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Zimmerman, B. J. i Moylan, A. R. (2009). Samoregulacja: gdzie przecinają się metapoznanie i motywacja. W: D. J. Hacker, J. Dunlosky, &amp; A. C. Graesser (red.),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Handbook of Metacognition in Education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(s. 299–315). Routledge/Taylor &amp; Francis Group.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Volungeviciene, A., Tereseviciene, M. i Trepule, E. (2021). Learning Analytics: metapoznawcze narzędzie do angażowania studentów. Badanie Sciendo. </w:t>
      </w:r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 https://doi.org/10.2478/9788366675643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footerReference r:id="rId26" w:type="default"/>
      <w:footerReference r:id="rId27" w:type="first"/>
      <w:footerReference r:id="rId28" w:type="even"/>
      <w:pgSz w:h="15840" w:w="12240" w:orient="portrait"/>
      <w:pgMar w:bottom="1440" w:top="1440" w:left="144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</w:rPr>
      <w:drawing>
        <wp:inline distB="114300" distT="114300" distL="114300" distR="114300">
          <wp:extent cx="1063113" cy="190500"/>
          <wp:effectExtent b="0" l="0" r="0" t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  <w:rtl w:val="0"/>
      </w:rPr>
      <w:t xml:space="preserve">Training material "Monitoring, supporting, and engaging students based on the evidence generated by digital technologies" by</w:t>
    </w:r>
    <w:hyperlink r:id="rId2">
      <w:r w:rsidDel="00000000" w:rsidR="00000000" w:rsidRPr="00000000">
        <w:rPr>
          <w:rFonts w:ascii="Times" w:cs="Times" w:eastAsia="Times" w:hAnsi="Times"/>
          <w:color w:val="1d2125"/>
          <w:sz w:val="19"/>
          <w:szCs w:val="19"/>
          <w:highlight w:val="white"/>
          <w:rtl w:val="0"/>
        </w:rPr>
        <w:t xml:space="preserve"> Maina, M.F., Guàrdia, L., Duart, J.M., Mancini, F., Malerba, M.L., Volungeviciene, A., Tamoliune, G.</w:t>
      </w:r>
    </w:hyperlink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  <w:rtl w:val="0"/>
      </w:rPr>
      <w:t xml:space="preserve"> is licensed under a</w:t>
    </w:r>
    <w:hyperlink r:id="rId3">
      <w:r w:rsidDel="00000000" w:rsidR="00000000" w:rsidRPr="00000000">
        <w:rPr>
          <w:rFonts w:ascii="Times" w:cs="Times" w:eastAsia="Times" w:hAnsi="Times"/>
          <w:color w:val="1d2125"/>
          <w:sz w:val="19"/>
          <w:szCs w:val="19"/>
          <w:highlight w:val="white"/>
          <w:rtl w:val="0"/>
        </w:rPr>
        <w:t xml:space="preserve"> Creative Commons Attribution-ShareAlike 4.0 International License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28583</wp:posOffset>
          </wp:positionV>
          <wp:extent cx="2033588" cy="430182"/>
          <wp:effectExtent b="0" l="0" r="0" t="0"/>
          <wp:wrapNone/>
          <wp:docPr id="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28580</wp:posOffset>
          </wp:positionV>
          <wp:extent cx="1446609" cy="428625"/>
          <wp:effectExtent b="0" l="0" r="0" t="0"/>
          <wp:wrapNone/>
          <wp:docPr id="4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UOC_VMU</w:t>
    </w:r>
  </w:p>
  <w:p w:rsidR="00000000" w:rsidDel="00000000" w:rsidP="00000000" w:rsidRDefault="00000000" w:rsidRPr="00000000" w14:paraId="00000054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  <w:rsid w:val="00DB24DF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spacing w:after="320"/>
    </w:pPr>
    <w:rPr>
      <w:color w:val="666666"/>
      <w:sz w:val="30"/>
    </w:rPr>
  </w:style>
  <w:style w:type="paragraph" w:styleId="Nagwek">
    <w:name w:val="header"/>
    <w:basedOn w:val="Normalny"/>
    <w:link w:val="Nagwek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21E87"/>
  </w:style>
  <w:style w:type="paragraph" w:styleId="Stopka">
    <w:name w:val="footer"/>
    <w:basedOn w:val="Normalny"/>
    <w:link w:val="Stopka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21E87"/>
  </w:style>
  <w:style w:type="paragraph" w:styleId="Akapitzlist">
    <w:name w:val="List Paragraph"/>
    <w:basedOn w:val="Normalny"/>
    <w:uiPriority w:val="34"/>
    <w:qFormat w:val="1"/>
    <w:rsid w:val="00420F85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420F85"/>
    <w:rPr>
      <w:color w:val="0000ff"/>
      <w:u w:val="single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420F85"/>
  </w:style>
  <w:style w:type="character" w:styleId="ref-lnk" w:customStyle="1">
    <w:name w:val="ref-lnk"/>
    <w:basedOn w:val="Domylnaczcionkaakapitu"/>
    <w:rsid w:val="00721C9E"/>
  </w:style>
  <w:style w:type="character" w:styleId="singlehighlightclass" w:customStyle="1">
    <w:name w:val="single_highlight_class"/>
    <w:basedOn w:val="Domylnaczcionkaakapitu"/>
    <w:rsid w:val="00721C9E"/>
  </w:style>
  <w:style w:type="character" w:styleId="searchnone" w:customStyle="1">
    <w:name w:val="searchnone"/>
    <w:basedOn w:val="Domylnaczcionkaakapitu"/>
    <w:rsid w:val="0039043D"/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4649F"/>
    <w:rPr>
      <w:rFonts w:ascii="Segoe UI" w:cs="Segoe UI" w:hAnsi="Segoe UI"/>
      <w:sz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4649F"/>
    <w:rPr>
      <w:rFonts w:ascii="Segoe UI" w:cs="Segoe UI" w:hAnsi="Segoe UI"/>
      <w:sz w:val="18"/>
    </w:rPr>
  </w:style>
  <w:style w:type="paragraph" w:styleId="P68B1DB1-Normalny1" w:customStyle="1">
    <w:name w:val="P68B1DB1-Normalny1"/>
    <w:basedOn w:val="Normalny"/>
    <w:rPr>
      <w:rFonts w:ascii="Calibri" w:cs="Calibri" w:eastAsia="Calibri" w:hAnsi="Calibri"/>
      <w:b w:val="1"/>
      <w:color w:val="000000"/>
      <w:sz w:val="40"/>
    </w:rPr>
  </w:style>
  <w:style w:type="paragraph" w:styleId="P68B1DB1-Normalny2" w:customStyle="1">
    <w:name w:val="P68B1DB1-Normalny2"/>
    <w:basedOn w:val="Normalny"/>
    <w:rPr>
      <w:rFonts w:ascii="Calibri" w:cs="Calibri" w:eastAsia="Calibri" w:hAnsi="Calibri"/>
      <w:color w:val="000000"/>
      <w:sz w:val="32"/>
    </w:rPr>
  </w:style>
  <w:style w:type="paragraph" w:styleId="P68B1DB1-Normalny3" w:customStyle="1">
    <w:name w:val="P68B1DB1-Normalny3"/>
    <w:basedOn w:val="Normalny"/>
    <w:rPr>
      <w:rFonts w:ascii="Calibri" w:cs="Calibri" w:eastAsia="Calibri" w:hAnsi="Calibri"/>
    </w:rPr>
  </w:style>
  <w:style w:type="paragraph" w:styleId="P68B1DB1-Normalny4" w:customStyle="1">
    <w:name w:val="P68B1DB1-Normalny4"/>
    <w:basedOn w:val="Normalny"/>
    <w:rPr>
      <w:rFonts w:ascii="Calibri" w:cs="Calibri" w:eastAsia="Calibri" w:hAnsi="Calibri"/>
      <w:b w:val="1"/>
    </w:rPr>
  </w:style>
  <w:style w:type="paragraph" w:styleId="P68B1DB1-Normalny5" w:customStyle="1">
    <w:name w:val="P68B1DB1-Normalny5"/>
    <w:basedOn w:val="Normalny"/>
    <w:rPr>
      <w:rFonts w:ascii="Calibri" w:cs="Calibri" w:eastAsia="Calibri" w:hAnsi="Calibri"/>
      <w:highlight w:val="white"/>
    </w:rPr>
  </w:style>
  <w:style w:type="paragraph" w:styleId="P68B1DB1-Normalny6" w:customStyle="1">
    <w:name w:val="P68B1DB1-Normalny6"/>
    <w:basedOn w:val="Normalny"/>
    <w:rPr>
      <w:i w:val="1"/>
      <w:sz w:val="20"/>
    </w:rPr>
  </w:style>
  <w:style w:type="paragraph" w:styleId="P68B1DB1-Normalny7" w:customStyle="1">
    <w:name w:val="P68B1DB1-Normalny7"/>
    <w:basedOn w:val="Normalny"/>
    <w:rPr>
      <w:color w:val="000000"/>
    </w:rPr>
  </w:style>
  <w:style w:type="paragraph" w:styleId="P68B1DB1-Normalny8" w:customStyle="1">
    <w:name w:val="P68B1DB1-Normalny8"/>
    <w:basedOn w:val="Normalny"/>
    <w:rPr>
      <w:rFonts w:ascii="Times" w:cs="Times" w:eastAsia="Times" w:hAnsi="Times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tructural-learning.com/post/teaching-and-learning-strategies-a-classroom-guide" TargetMode="External"/><Relationship Id="rId22" Type="http://schemas.openxmlformats.org/officeDocument/2006/relationships/hyperlink" Target="https://psycnet.apa.org/doi/10.1016/B978-012109890-2/50031-7" TargetMode="External"/><Relationship Id="rId21" Type="http://schemas.openxmlformats.org/officeDocument/2006/relationships/hyperlink" Target="https://doi.org/10.3389/fpsyg.2017.00422" TargetMode="External"/><Relationship Id="rId24" Type="http://schemas.openxmlformats.org/officeDocument/2006/relationships/header" Target="header2.xml"/><Relationship Id="rId23" Type="http://schemas.openxmlformats.org/officeDocument/2006/relationships/hyperlink" Target="https://doi.org/10.2478/978836667564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moodle.org/400/en/Feedback_activity" TargetMode="External"/><Relationship Id="rId26" Type="http://schemas.openxmlformats.org/officeDocument/2006/relationships/footer" Target="footer1.xml"/><Relationship Id="rId25" Type="http://schemas.openxmlformats.org/officeDocument/2006/relationships/header" Target="header1.xml"/><Relationship Id="rId28" Type="http://schemas.openxmlformats.org/officeDocument/2006/relationships/footer" Target="footer2.xml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yperlink" Target="https://docs.moodle.org/400/en/Assignment_activity" TargetMode="External"/><Relationship Id="rId11" Type="http://schemas.openxmlformats.org/officeDocument/2006/relationships/hyperlink" Target="https://docs.moodle.org/400/en/Forum_activity" TargetMode="External"/><Relationship Id="rId10" Type="http://schemas.openxmlformats.org/officeDocument/2006/relationships/hyperlink" Target="https://docs.moodle.org/400/en/Outcomes" TargetMode="External"/><Relationship Id="rId13" Type="http://schemas.openxmlformats.org/officeDocument/2006/relationships/hyperlink" Target="https://www.youtube.com/watch?v=LCYbjmqyLbg" TargetMode="External"/><Relationship Id="rId12" Type="http://schemas.openxmlformats.org/officeDocument/2006/relationships/hyperlink" Target="https://docs.moodle.org/311/en/Tracking_progress#Activity_completion" TargetMode="External"/><Relationship Id="rId15" Type="http://schemas.openxmlformats.org/officeDocument/2006/relationships/hyperlink" Target="https://eua.eu/downloads/publications/eua%20report%20evidence-based%20approaches_web.pdf" TargetMode="External"/><Relationship Id="rId14" Type="http://schemas.openxmlformats.org/officeDocument/2006/relationships/hyperlink" Target="https://nij.ojp.gov/digital-evidence-and-forensics" TargetMode="External"/><Relationship Id="rId17" Type="http://schemas.openxmlformats.org/officeDocument/2006/relationships/hyperlink" Target="https://serc.carleton.edu/integrate/programs/workforceprep/competencies_and_LO.html" TargetMode="External"/><Relationship Id="rId16" Type="http://schemas.openxmlformats.org/officeDocument/2006/relationships/hyperlink" Target="https://doi.org/10.1080/00405841.2016.1173997" TargetMode="External"/><Relationship Id="rId19" Type="http://schemas.openxmlformats.org/officeDocument/2006/relationships/hyperlink" Target="https://education.nsw.gov.au/student-wellbeing/tell-them-from-me/accessing-and-using-tell-them-from-me-data/tell-them-from-me-measures/teaching-strategies" TargetMode="External"/><Relationship Id="rId18" Type="http://schemas.openxmlformats.org/officeDocument/2006/relationships/hyperlink" Target="https://doi.org/10.5688/ajpe8147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course/view.php?id=91" TargetMode="External"/><Relationship Id="rId3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7rcB3LU86HJwwCdpYutV7m8Vjw==">CgMxLjAyCGguZ2pkZ3hzMg5oLm00MXFsMHdncXVhaTIOaC5kY241eGpoZDdwZ2wyDmgueDd5OW1ocTR0OGFjMg5oLnkxYWZucWgxeGMyYzIOaC56N2N6aXloNDhqcG0yDmgucWo3d2Z0c3lpMDU2Mg5oLnI3dThuYWZjZWxydTgAciExNjhGcDRualBNTVNWM19qS3I0YmZFeFI1TjVhT1pHMUc=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2023-01-31T11:28:00Z</dcterms:created>
  <dc:creator>US</dc:creator>
</cp:coreProperties>
</file>