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Unterstützung und Einbindung der Lernenden durch evidenzbasierte Daten (SELBSTBEWERTUNGSPHASE)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Quiz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1. Welche der folgenden Strategien sind gut geeignet, um das Engagement der Studierenden zu fördern? (Mehr als eine Antwort ist möglich)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Sie mit großen Mengen an Lektüre und Lernmaterial zu versorgen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Falsch! Es ist wichtig, mit den Lerninhalten nicht zu übertreiben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Unterscheidung zwischen fakultativer und obligatorischer Lektüre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Richtig!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Ihnen ein gezieltes und zeitnahes Feedback zu geben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Richtig!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Lernergebnisse in den Kurs aufnehmen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Richtig!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 Welche der folgenden Moodle-Tools können für das Engagement genutzt werden? Kreuzen Sie alle an, die zutreffen.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Auswahlwerkzeug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Richtig!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Abzeichen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Richtig!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Wiki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Richtig!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Diskussionsforum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Richtig!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3. Was sollten anpassbare Dashboards zeigen, um den Lernenden zu helfen? Kreuzen Sie alles an, was zutrifft.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Inhaltliche Fortschrittsindikatoren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Richtig!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Der Prozentsatz der abgeschlossenen Lernaktivitäten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Richtig!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Das Niveau des Engagements in der Diskussion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Richtig!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Der Zeitplan für den Abschluss der Aktivitäten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Richtig!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4. Welche der folgenden Aussagen darüber, dass die Lernenden im Mittelpunkt des Lernprozesses stehen, trifft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NICHT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zu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kdnw0g44d1dn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Die Bloomsche Taxonomie kann nicht nützlich sein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Falsch!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71lkt3j9yeht" w:id="1"/>
      <w:bookmarkEnd w:id="1"/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Sie sollten nur selbstständig arbeiten, Zusammenarbeit ist nicht so wichtig </w:t>
      </w:r>
      <w:r w:rsidDel="00000000" w:rsidR="00000000" w:rsidRPr="00000000">
        <w:rPr>
          <w:rFonts w:ascii="Calibri" w:cs="Calibri" w:eastAsia="Calibri" w:hAnsi="Calibri"/>
          <w:color w:val="00ff00"/>
          <w:highlight w:val="white"/>
          <w:rtl w:val="0"/>
        </w:rPr>
        <w:t xml:space="preserve">Richtig! Gruppenarbeit ist auch wichtig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lf7wesn5g805" w:id="2"/>
      <w:bookmarkEnd w:id="2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Schüler brauchen Gelegenheiten zur Selbstreflexion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Falsch!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m92tm3qu53ki" w:id="3"/>
      <w:bookmarkEnd w:id="3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VLEs sind eine wertvolle Hilfe, um die Lernenden in den Mittelpunkt ihres Lernprozesses zu stellen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Falsch!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Selbstreflexionsfragen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Welche Informationen würden Sie nutzen, um zu verstehen, wie die Studierenden den Kurs erlebt haben? Beispiel: Fragen im abschließenden Feedback. Was noch?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Der kontinuierliche Beitrag der Lehrkräfte ist entscheidend für das Engagement der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Studierenden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Wie häufig sollten Lehrer Ihrer Meinung nach eingreifen und wie?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Was würden Sie tun, um die Aktivitäten an das Vorwissen der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Studierenden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anzupassen? Denken Sie an einige konkrete Beispiele!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Welche Unterrichtsentscheidung würden Sie treffen, wenn die </w:t>
      </w:r>
      <w:r w:rsidDel="00000000" w:rsidR="00000000" w:rsidRPr="00000000">
        <w:rPr>
          <w:rFonts w:ascii="Calibri" w:cs="Calibri" w:eastAsia="Calibri" w:hAnsi="Calibri"/>
          <w:color w:val="131413"/>
          <w:rtl w:val="0"/>
        </w:rPr>
        <w:t xml:space="preserve">Analysedaten ein geringes Engagement der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Studierenden </w:t>
      </w:r>
      <w:r w:rsidDel="00000000" w:rsidR="00000000" w:rsidRPr="00000000">
        <w:rPr>
          <w:rFonts w:ascii="Calibri" w:cs="Calibri" w:eastAsia="Calibri" w:hAnsi="Calibri"/>
          <w:color w:val="131413"/>
          <w:rtl w:val="0"/>
        </w:rPr>
        <w:t xml:space="preserve">ergeben?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inline distB="114300" distT="114300" distL="114300" distR="114300">
          <wp:extent cx="1044677" cy="190500"/>
          <wp:effectExtent b="0" l="0" r="0" t="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4677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  <w:rtl w:val="0"/>
      </w:rPr>
      <w:t xml:space="preserve">Training material "Monitoring, supporting, and engaging students based on the evidence generated by digital technologies" by</w:t>
    </w:r>
    <w:hyperlink r:id="rId2">
      <w:r w:rsidDel="00000000" w:rsidR="00000000" w:rsidRPr="00000000">
        <w:rPr>
          <w:rFonts w:ascii="Times" w:cs="Times" w:eastAsia="Times" w:hAnsi="Times"/>
          <w:color w:val="1d2125"/>
          <w:sz w:val="19"/>
          <w:szCs w:val="19"/>
          <w:highlight w:val="white"/>
          <w:rtl w:val="0"/>
        </w:rPr>
        <w:t xml:space="preserve"> </w:t>
      </w:r>
    </w:hyperlink>
    <w:hyperlink r:id="rId3">
      <w:r w:rsidDel="00000000" w:rsidR="00000000" w:rsidRPr="00000000">
        <w:rPr>
          <w:rFonts w:ascii="Times" w:cs="Times" w:eastAsia="Times" w:hAnsi="Times"/>
          <w:color w:val="8b1a4a"/>
          <w:sz w:val="19"/>
          <w:szCs w:val="19"/>
          <w:highlight w:val="white"/>
          <w:u w:val="single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  <w:rtl w:val="0"/>
      </w:rPr>
      <w:t xml:space="preserve"> is licensed under a</w:t>
    </w:r>
    <w:hyperlink r:id="rId4">
      <w:r w:rsidDel="00000000" w:rsidR="00000000" w:rsidRPr="00000000">
        <w:rPr>
          <w:rFonts w:ascii="Times" w:cs="Times" w:eastAsia="Times" w:hAnsi="Times"/>
          <w:color w:val="1d2125"/>
          <w:sz w:val="19"/>
          <w:szCs w:val="19"/>
          <w:highlight w:val="white"/>
          <w:rtl w:val="0"/>
        </w:rPr>
        <w:t xml:space="preserve"> </w:t>
      </w:r>
    </w:hyperlink>
    <w:hyperlink r:id="rId5">
      <w:r w:rsidDel="00000000" w:rsidR="00000000" w:rsidRPr="00000000">
        <w:rPr>
          <w:rFonts w:ascii="Times" w:cs="Times" w:eastAsia="Times" w:hAnsi="Times"/>
          <w:color w:val="8b1a4a"/>
          <w:sz w:val="19"/>
          <w:szCs w:val="19"/>
          <w:highlight w:val="white"/>
          <w:u w:val="single"/>
          <w:rtl w:val="0"/>
        </w:rPr>
        <w:t xml:space="preserve">Creative Commons Attribution-ShareAlike 4.0 International License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Trainingsmaterial für Hochschullehrer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28583</wp:posOffset>
          </wp:positionV>
          <wp:extent cx="2033588" cy="430182"/>
          <wp:effectExtent b="0" l="0" r="0" t="0"/>
          <wp:wrapNone/>
          <wp:docPr id="3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28580</wp:posOffset>
          </wp:positionV>
          <wp:extent cx="1446609" cy="428625"/>
          <wp:effectExtent b="0" l="0" r="0" t="0"/>
          <wp:wrapNone/>
          <wp:docPr id="4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UOC_VMU</w:t>
    </w:r>
  </w:p>
  <w:p w:rsidR="00000000" w:rsidDel="00000000" w:rsidP="00000000" w:rsidRDefault="00000000" w:rsidRPr="00000000" w14:paraId="0000002A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554664"/>
    <w:rPr>
      <w:rFonts w:ascii="Times New Roman" w:cs="Times New Roman" w:eastAsia="Times New Roman" w:hAnsi="Times New Roman"/>
      <w:lang w:eastAsia="de-DE" w:val="en-GB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554664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554664"/>
  </w:style>
  <w:style w:type="paragraph" w:styleId="Fuzeile">
    <w:name w:val="footer"/>
    <w:basedOn w:val="Standard"/>
    <w:link w:val="FuzeileZchn"/>
    <w:uiPriority w:val="99"/>
    <w:unhideWhenUsed w:val="1"/>
    <w:rsid w:val="00554664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55466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teacamp.vdu.lt/course/view.php?id=91" TargetMode="External"/><Relationship Id="rId3" Type="http://schemas.openxmlformats.org/officeDocument/2006/relationships/hyperlink" Target="https://teacamp.vdu.lt/course/view.php?id=91" TargetMode="External"/><Relationship Id="rId4" Type="http://schemas.openxmlformats.org/officeDocument/2006/relationships/hyperlink" Target="http://creativecommons.org/licenses/by-sa/4.0/" TargetMode="External"/><Relationship Id="rId5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FjdsAg2xTrs1F97aQoTmCrsWBQ==">CgMxLjAyDmgua2RudzBnNDRkMWRuMg5oLjcxbGt0M2o5eWVodDIOaC5sZjd3ZXNuNWc4MDUyDmgubTkydG0zcXU1M2tpOAByITFJcnpyTW5GeUc2WlRKZUJPU0NVaEdFVDlmWWxQbVRIag==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2023-02-01T10:16:00Z</dcterms:created>
  <dc:creator>Amelie Bieringer</dc:creator>
</cp:coreProperties>
</file>