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Donar suport als estudiants i implicar-los mitjançant dades basades en l'evidència (FASE D'AUTOREFLEXIÓ)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Qüestionari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Quines de les següents són bones estratègies per fomentar el compromís dels estudiants? (És possible més d'una resposta.)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Proporcionar-los una gran quantitat de lectures i materials de contingut.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Incorrecte! És important no excedir-se amb els continguts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Distingir entre lectures optatives i obligatòries.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Oferir-los retorn específic i en el moment adequat.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Incloure els resultats de l'aprenentatge al curs.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Quines de les següents eines de Moodle es poden utilitzar per a la implicació? Marqueu totes les que corresponguin.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Eina de consulta.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Insígnies.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Wiki.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Fòrum de discussió.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Què haurien de mostrar els panells de control personalitzables per ajudar els estudiants? Marqueu totes les que corresponguin.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Indicadors de progrés del contingut.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 percentatge d'activitats d'aprenentatge realitzades.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 nivell de participació en la discussió.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 moment de la realització de les activitats.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 Quina de les següents afirmacions sobre posar els aprenents al centre del seu procés d'aprenentatge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és veritat?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kdnw0g44d1dn" w:id="1"/>
      <w:bookmarkEnd w:id="1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La taxonomia de Bloom no pot ser útil.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71lkt3j9yeht" w:id="2"/>
      <w:bookmarkEnd w:id="2"/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Només haurien de treballar de manera autònoma; la col·laboració no és tan important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ff00"/>
          <w:highlight w:val="white"/>
          <w:rtl w:val="0"/>
        </w:rPr>
        <w:t xml:space="preserve">Correcte! El treball en grup també és important.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lf7wesn5g805" w:id="3"/>
      <w:bookmarkEnd w:id="3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Els alumnes necessiten oportunitats d'autoreflexió.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m92tm3qu53ki" w:id="4"/>
      <w:bookmarkEnd w:id="4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Els EVA són una ajuda valuosa per posar els estudiants al centre del seu procés d'aprenentatge.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Preguntes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d'autoreflexió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Quina informació utilitzaríeu per entendre com han viscut el curs els estudiants? Exemple: preguntes incloses en el retorn final. Què més?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L'aportació contínua dels professors és fonamental per a la implicació dels estudiants. Amb quina freqüència creieu que haurien d'intervenir els professors i com?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Què faríeu per adaptar les activitats als coneixements previs dels alumnes? Penseu en alguns exemples concrets.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Quina decisió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formativa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prendríeu si les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dades analítiques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han reflectit un nivell d'implicació dels estudiants baix?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</w:rPr>
      <w:drawing>
        <wp:inline distB="114300" distT="114300" distL="114300" distR="114300">
          <wp:extent cx="1044677" cy="190500"/>
          <wp:effectExtent b="0" l="0" r="0" t="0"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677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3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5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3120" w:firstLine="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Material de formació per al </w:t>
      <w:br w:type="textWrapping"/>
      <w:t xml:space="preserve">professorat de l’ESO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ind w:left="2400" w:firstLine="72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UOC_VMU</w:t>
    </w:r>
  </w:p>
  <w:p w:rsidR="00000000" w:rsidDel="00000000" w:rsidP="00000000" w:rsidRDefault="00000000" w:rsidRPr="00000000" w14:paraId="00000028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OS79Ni8MVlilLOkQ8Trd/13qA==">CgMxLjAyCGguZ2pkZ3hzMg5oLmtkbncwZzQ0ZDFkbjIOaC43MWxrdDNqOXllaHQyDmgubGY3d2VzbjVnODA1Mg5oLm05MnRtM3F1NTNraTgAciExZHBxRTVtVFlEOWVRaTFENTZabDlmX1ZFMXJSYnFReVM=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2022-06-22T11:22:00Z</dcterms:created>
</cp:coreProperties>
</file>