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it0u85nt9ojh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Unitat 2.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Analitzar i interpretar dades basades en l'evidència per influir en l'ensenyament i l'aprenentatge (SEGUIMENT / RENDIMENT / ENSENYAMENT I APRENENTATGE)</w:t>
      </w:r>
    </w:p>
    <w:p w:rsidR="00000000" w:rsidDel="00000000" w:rsidP="00000000" w:rsidRDefault="00000000" w:rsidRPr="00000000" w14:paraId="00000002">
      <w:pPr>
        <w:spacing w:line="276" w:lineRule="auto"/>
        <w:ind w:firstLine="280"/>
        <w:jc w:val="center"/>
        <w:rPr>
          <w:rFonts w:ascii="Calibri" w:cs="Calibri" w:eastAsia="Calibri" w:hAnsi="Calibri"/>
          <w:b w:val="1"/>
          <w:color w:val="000000"/>
          <w:sz w:val="30"/>
          <w:szCs w:val="3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47625</wp:posOffset>
            </wp:positionV>
            <wp:extent cx="6081713" cy="3248025"/>
            <wp:effectExtent b="0" l="0" r="0" t="0"/>
            <wp:wrapSquare wrapText="bothSides" distB="19050" distT="19050" distL="19050" distR="1905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rFonts w:ascii="Georgia" w:cs="Georgia" w:eastAsia="Georgia" w:hAnsi="Georgia"/>
          <w:color w:val="333333"/>
        </w:rPr>
      </w:pPr>
      <w:bookmarkStart w:colFirst="0" w:colLast="0" w:name="_heading=h.wxjwn9cun9sb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Figura 1. L'anàlisi de l'aprenentatge com a eina metacognitiva per millorar l'èxit acadèmic dels estudiants (Volungeviciene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30"/>
          <w:szCs w:val="30"/>
          <w:rtl w:val="0"/>
        </w:rPr>
        <w:t xml:space="preserve">et 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., 2021, pàg. 175)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00" w:lineRule="auto"/>
        <w:rPr>
          <w:color w:val="000000"/>
          <w:sz w:val="28"/>
          <w:szCs w:val="28"/>
        </w:rPr>
      </w:pPr>
      <w:bookmarkStart w:colFirst="0" w:colLast="0" w:name="_heading=h.llpn4dbjlliy" w:id="3"/>
      <w:bookmarkEnd w:id="3"/>
      <w:r w:rsidDel="00000000" w:rsidR="00000000" w:rsidRPr="00000000">
        <w:rPr>
          <w:color w:val="000000"/>
          <w:sz w:val="40"/>
          <w:szCs w:val="40"/>
          <w:rtl w:val="0"/>
        </w:rPr>
        <w:t xml:space="preserve">INTRODUCCIÓ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Segons el marc de referència DigCompEdu (Punie i Redecker, 2017), l'anàlisi de l'evidència forma part de la competència d'avaluació i és un mitjà per generar, seleccionar, analitzar críticament i interpretar evidència o proves digitals sobre l'activitat, el rendiment i el progrés de l'alumne per tal d'influir en l'ensenyament i l'aprenentatge.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Aplicant l'analítica d'aprenentatge per analitzar l'evidència, els professors poden ajustar i adaptar el currículum per atendre les necessitats i les habilitats dels estudiants. Les analítiques també són útils perquè els professors planifiquin el reajustament de continguts i estratègies durant el curs segons les necessitats dels estudiants, i personalitzar el seu procés d'aprenentatge i les seves intervencions.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L'analítica d'aprenentatge ofereix informació i coneixements valuosos no només per als professors, sinó també per als estudiants. De fet, augmenta la consciència de les habilitats cognitives dels alumnes i crea un sentit més fort de comunitat (Trespalacios i Perkins, 2016), amb la qual cosa fomenta una implicació més activa dels estudiants. Com Sclater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et. al.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(2016) esmenten, hi ha diferents maneres d'analitzar i interpretar l'evidència, com ara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desenvolupament de models predictius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(vegeu la introducció conceptual), l'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anàlisi de xarxes socials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mostren les interaccions dels patrons als fòrums de discussió (Holmes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 al.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2019), i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personalització de l'aprenentatge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orientant els estudiants en la ruta d'aprenentatge amb recomanacions i indicacions sobre el seu progrés.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relació amb el tercer aspecte, la personalització de l'aprenentatge, les solucions de disseny de l'aprenentatge no són coherents i seqüencials per a tots els estudiants. Més aviat, l'ensenyament se centra en un tema ampli que inclou molts recursos diferents i els patrons de comportament dels estudiants són diferents entre ells.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motius de transparència, és important que els estudiants sàpiguen des de la primera classe que el professor pot accedir a les dades relacionades amb la seva participació en l'entorn virtual d'aprenentatge i controlar-les. També és important informar-los d'a quines dades s'accedeix, quines s'analitzen, per a què serveixen i com es garanteix la protecció de les 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nf68u7hxt5ri" w:id="4"/>
      <w:bookmarkEnd w:id="4"/>
      <w:r w:rsidDel="00000000" w:rsidR="00000000" w:rsidRPr="00000000">
        <w:rPr>
          <w:color w:val="000000"/>
          <w:sz w:val="32"/>
          <w:szCs w:val="32"/>
          <w:rtl w:val="0"/>
        </w:rPr>
        <w:t xml:space="preserve">Temes</w:t>
      </w:r>
    </w:p>
    <w:p w:rsidR="00000000" w:rsidDel="00000000" w:rsidP="00000000" w:rsidRDefault="00000000" w:rsidRPr="00000000" w14:paraId="0000000B">
      <w:pPr>
        <w:spacing w:line="276" w:lineRule="auto"/>
        <w:ind w:left="708" w:hanging="5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 Com es pot analitzar i interpretar l'evidència disponible sobre l'activitat i el progrés de l'alumne per donar suport a la implicació?</w:t>
      </w:r>
    </w:p>
    <w:p w:rsidR="00000000" w:rsidDel="00000000" w:rsidP="00000000" w:rsidRDefault="00000000" w:rsidRPr="00000000" w14:paraId="0000000C">
      <w:pPr>
        <w:spacing w:line="276" w:lineRule="auto"/>
        <w:ind w:left="708" w:hanging="570"/>
        <w:rPr>
          <w:rFonts w:ascii="Calibri" w:cs="Calibri" w:eastAsia="Calibri" w:hAnsi="Calibri"/>
          <w:color w:val="2f559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 Com es fan intervencions d'ensenyament i aprenentatge basades en dades mitjançant informes?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="276" w:lineRule="auto"/>
        <w:ind w:left="708" w:hanging="570"/>
        <w:rPr>
          <w:color w:val="000000"/>
          <w:sz w:val="32"/>
          <w:szCs w:val="32"/>
        </w:rPr>
      </w:pPr>
      <w:bookmarkStart w:colFirst="0" w:colLast="0" w:name="_heading=h.3058d2z9cpmb" w:id="5"/>
      <w:bookmarkEnd w:id="5"/>
      <w:r w:rsidDel="00000000" w:rsidR="00000000" w:rsidRPr="00000000">
        <w:rPr>
          <w:color w:val="000000"/>
          <w:sz w:val="32"/>
          <w:szCs w:val="32"/>
          <w:rtl w:val="0"/>
        </w:rPr>
        <w:t xml:space="preserve">Resultats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Utilitzar les tecnologies digitals per proporcionar als estudiants informació específica i en el moment adequat.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Adaptar les estratègies docents i donar suport específic, a partir de l'evidència generada per les tecnologies digitals utilitzades.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Generar, seleccionar, fer una anàlisi crítica i interpretar proves digitals sobre l'activitat, el rendiment i el progrés de l'alumne, per tal d'influir en l'ensenyament i l'aprenentatge.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Utilitzar les tecnologies digitals per permetre als alumnes reflexionar i autoavaluar el seu procés d'aprenentatge.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color w:val="000000"/>
          <w:sz w:val="32"/>
          <w:szCs w:val="32"/>
        </w:rPr>
      </w:pPr>
      <w:bookmarkStart w:colFirst="0" w:colLast="0" w:name="_heading=h.d04xsutsvln5" w:id="6"/>
      <w:bookmarkEnd w:id="6"/>
      <w:r w:rsidDel="00000000" w:rsidR="00000000" w:rsidRPr="00000000">
        <w:rPr>
          <w:color w:val="000000"/>
          <w:sz w:val="32"/>
          <w:szCs w:val="32"/>
          <w:rtl w:val="0"/>
        </w:rPr>
        <w:t xml:space="preserve">DEFINICIONS (eina de glossari)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Progressió de l'aprenentatge: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progrés de l'aprenentatge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descriu nivells creixents de dificultat i complexitat en l'adquisició de coneixements, habilitats i actituds en un àmbit determinat. Els professors han de ser capaços d'identificar quan i com han d'intervenir perquè els alumnes avancin en el seu aprenentatge.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Rendiment de l'alumne: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és una mesura del grau d'aprenentatge dels estudiants en termes de desenvolupament de coneixements i habilitats. </w:t>
      </w:r>
    </w:p>
    <w:p w:rsidR="00000000" w:rsidDel="00000000" w:rsidP="00000000" w:rsidRDefault="00000000" w:rsidRPr="00000000" w14:paraId="0000001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Rule="auto"/>
        <w:rPr>
          <w:color w:val="000000"/>
          <w:sz w:val="32"/>
          <w:szCs w:val="32"/>
        </w:rPr>
      </w:pPr>
      <w:bookmarkStart w:colFirst="0" w:colLast="0" w:name="_heading=h.2jfu1q11k3c5" w:id="7"/>
      <w:bookmarkEnd w:id="7"/>
      <w:r w:rsidDel="00000000" w:rsidR="00000000" w:rsidRPr="00000000">
        <w:rPr>
          <w:color w:val="000000"/>
          <w:sz w:val="32"/>
          <w:szCs w:val="32"/>
          <w:rtl w:val="0"/>
        </w:rPr>
        <w:t xml:space="preserve">ESTRATÈGIES I RECOMANACIONS SOBRE COM S'ANALITZEN I S'INTERPRETEN LES PROVES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 del punt de vista pedagògic: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Considerar i decidir quines dades sobre el comportament dels alumnes i el procés i el progrés de l'aprenentatge és important analitzar.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Decidir quines dades són importants d'analitzar durant el semestre i quines al final del semestre/període d'aprenentatge.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Informar els estudiants sobre quines dades genereu, controleu i analitzeu i quines dades poden analitzar ells mateixos.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Analitzar els informes d'activitats dels alumnes que demostrin quantes vegades els alumnes han accedit a cada recurs o activitat d'aprenentatge. Això pot ajudar a comprendre els estils d'aprenentatge dels estudiants i els formats preferits dels recursos d'aprenentatge i a aprendre'n.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Reflexionar sobre quins canvis s'han de fer pel que fa al disseny de l'aprenentatge, al material d'aprenentatge, a les activitats, a les tasques o a les estratègies d'avaluació basades en l'evidència digital;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Oferir el retorn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als alumnes sobre el seu progrés en l'aprenentatge.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 del punt de vista tècnic: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Establir i planificar activitats i tasques que ajudin a recollir les dades que es volen.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Integrar eines digitals externes o compatibles amb l'EVA que fomentin la participació activa dels estudiants (per exemple Moodle Mind Map, Mentimeter, Padlet, Jamboard, Google Docs).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Utilitzar eines digitals per donar un retorn oral o escrit als estudiants.</w:t>
      </w:r>
    </w:p>
    <w:p w:rsidR="00000000" w:rsidDel="00000000" w:rsidP="00000000" w:rsidRDefault="00000000" w:rsidRPr="00000000" w14:paraId="00000023">
      <w:pPr>
        <w:keepNext w:val="1"/>
        <w:keepLines w:val="1"/>
        <w:spacing w:after="240" w:before="240" w:line="360" w:lineRule="auto"/>
        <w:jc w:val="both"/>
        <w:rPr>
          <w:sz w:val="28"/>
          <w:szCs w:val="28"/>
        </w:rPr>
      </w:pPr>
      <w:bookmarkStart w:colFirst="0" w:colLast="0" w:name="_heading=h.r7u8nafcelr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spacing w:after="240" w:before="240" w:line="360" w:lineRule="auto"/>
        <w:jc w:val="both"/>
        <w:rPr>
          <w:rFonts w:ascii="Calibri" w:cs="Calibri" w:eastAsia="Calibri" w:hAnsi="Calibri"/>
        </w:rPr>
      </w:pPr>
      <w:bookmarkStart w:colFirst="0" w:colLast="0" w:name="_heading=h.pfaxb0yeocw0" w:id="9"/>
      <w:bookmarkEnd w:id="9"/>
      <w:r w:rsidDel="00000000" w:rsidR="00000000" w:rsidRPr="00000000">
        <w:rPr>
          <w:sz w:val="28"/>
          <w:szCs w:val="28"/>
          <w:rtl w:val="0"/>
        </w:rPr>
        <w:t xml:space="preserve">ALTRES MATERIALS DE LECTURA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Bodily, R., Verbert, K. (2017). Review of research on student-facing learning analytics dashboards and educational recommender systems. 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EEE Transactions on Learning Technologies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(4), 405-418. DOI: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10.1109/TLT.2017.2740172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  <w:t xml:space="preserve">Charleer, S., Moere, A. V., Klerkx, J., Verbert, K., De Laet, T. (2017). Learning analytics dashboards to support adviser-student dialogue.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IEEE Transactions on Learning Technologies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(3), 389-399. DOI: </w:t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10.1109/TLT.2017.2720670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Emplit, P. and Zhang, T. (2020). Evidence-based approaches to learning and teaching,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and Teaching Paper #11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Thematic peer group report, EUA. Recuperat de: https://eua.eu/downloads/publications/eua%20report%20evidence-based%20approaches_web.pdf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Er, E., Dimitriadis, Y., Gasevic, D. (2021). Collaborative peer feedback and learning analytics: theory oriented design for supporting class-wide interventions,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Assessment &amp; Evaluation in Higher Education, 46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(2), 169-190. DOI: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https://doi.org/10.1080/02602938.2020.1764490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Holmes, W., Nguyen, Q., Zhang, J., Mavrikis, M., Rienties, B. (2019). Learning analytics for learning design in online distance learning,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Distance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https://doi.org/10.1080/01587919.2019.1637716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Kitto, K., Knight, S. (2019). Practical ethics for building learning analytics.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British Journal of Educational Technology, 50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(6), 2855-2870. DOI: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https://doi.org/10.1111/bjet.12868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Matcha, W., Gašević, D., Pardo, A. (2019). A systematic review of empirical studies on learning analytics dashboards: A self-regulated learning perspective.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IEEE Transactions on Learning Technologies, 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(2), 226-245. DOI: </w:t>
      </w:r>
      <w:hyperlink r:id="rId13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10.1109/TLT.2019.2916802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Punie, Y., editor(s), Redecker, C.,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European Framework for the Digital Competence of Educators: DigCompEdu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EUR 28775 EN, Publications Office of the European Union, Luxembourg, 2017. Recuperat de: https://op.europa.eu/en/publication-detail/-/publication/fcc33b68-d581-11e7-a5b9-01aa75ed71a1/language-en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Schumacher, C., Ifenthaler, D. (2018). Features students really expect from learning analytics.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Computers in human behavior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78, 397-407.</w:t>
      </w:r>
    </w:p>
    <w:p w:rsidR="00000000" w:rsidDel="00000000" w:rsidP="00000000" w:rsidRDefault="00000000" w:rsidRPr="00000000" w14:paraId="0000002D">
      <w:pPr>
        <w:spacing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Sclater, N., Peasgood, A., and Mullan, J. (2016).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Learning Analytics in Higher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Bristol: JISC.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Sedrakyan, G., Malmberg, J., Verbert, K., Järvelä, S., Kirschner, P. A. (2020). Linking learning behavior analytics and learning science concepts: Designing a learning analytics dashboard for feedback to support learning regulation. 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in Human Behavior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 107, 105512. DOI:</w:t>
        <w:br w:type="textWrapping"/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https://doi.org/10.1016/j.chb.2018.05.004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Silvola, A., Näykki, P., Kaveri, A., Muukkonen, H. (2021). Expectations for supporting student engagement with learning analytics: An academic path perspective.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Computers &amp;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168, 104192. DOI: </w:t>
      </w:r>
      <w:hyperlink r:id="rId15">
        <w:r w:rsidDel="00000000" w:rsidR="00000000" w:rsidRPr="00000000">
          <w:rPr>
            <w:rFonts w:ascii="Calibri" w:cs="Calibri" w:eastAsia="Calibri" w:hAnsi="Calibri"/>
            <w:color w:val="000000"/>
            <w:u w:val="none"/>
            <w:rtl w:val="0"/>
          </w:rPr>
          <w:t xml:space="preserve">https://doi.org/10.1016/j.compedu.2021.104192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Trespalacios, J., Perkins, R. (2016). Sense of community, perceived learning, and achievement relationships in an online graduate course.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Turkish Online Journal of Distance 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(3), 31-49. DOI: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10.17718/tojde.12984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</w:rPr>
      </w:pP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Volungevičienė, A. (2021).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i w:val="1"/>
            <w:rtl w:val="0"/>
          </w:rPr>
          <w:t xml:space="preserve">Data Analysis of Case Study Examples. In Learning Analytics: a Metacognitive Tool to Engage Students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 (pp. 73-170). Sciendo.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 DOI: https://doi.org/10.2478/9788366675643-005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. https://www.sciendo.com/pl/chapter/9788366675643/10.2478/9788366675643-005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76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footerReference r:id="rId2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/>
      <w:drawing>
        <wp:inline distB="114300" distT="114300" distL="114300" distR="114300">
          <wp:extent cx="1044677" cy="190500"/>
          <wp:effectExtent b="0" l="0" r="0" t="0"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ind w:left="3120" w:firstLine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Material de formació per al </w:t>
      <w:br w:type="textWrapping"/>
      <w:t xml:space="preserve">professorat de l'ESO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28584</wp:posOffset>
          </wp:positionV>
          <wp:extent cx="2033588" cy="430182"/>
          <wp:effectExtent b="0" l="0" r="0" t="0"/>
          <wp:wrapNone/>
          <wp:docPr id="4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28581</wp:posOffset>
          </wp:positionV>
          <wp:extent cx="1446609" cy="428625"/>
          <wp:effectExtent b="0" l="0" r="0" t="0"/>
          <wp:wrapNone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ind w:left="2400" w:firstLine="72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UOC_VMU</w:t>
    </w:r>
  </w:p>
  <w:p w:rsidR="00000000" w:rsidDel="00000000" w:rsidP="00000000" w:rsidRDefault="00000000" w:rsidRPr="00000000" w14:paraId="00000037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6D2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6D2B"/>
    <w:rPr>
      <w:rFonts w:ascii="Segoe UI" w:cs="Segoe UI" w:hAnsi="Segoe UI"/>
      <w:sz w:val="18"/>
      <w:szCs w:val="18"/>
    </w:rPr>
  </w:style>
  <w:style w:type="character" w:styleId="Mencisenseresoldre1" w:customStyle="1">
    <w:name w:val="Menció sense resoldre1"/>
    <w:basedOn w:val="DefaultParagraphFont"/>
    <w:uiPriority w:val="99"/>
    <w:semiHidden w:val="1"/>
    <w:unhideWhenUsed w:val="1"/>
    <w:rsid w:val="008B0E77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9A2216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A221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i.org/10.2478/9788366675643-005" TargetMode="External"/><Relationship Id="rId11" Type="http://schemas.openxmlformats.org/officeDocument/2006/relationships/hyperlink" Target="https://doi.org/10.1080/01587919.2019.1637716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i.org/10.1080/02602938.2020.1764490" TargetMode="External"/><Relationship Id="rId21" Type="http://schemas.openxmlformats.org/officeDocument/2006/relationships/hyperlink" Target="https://www.sciendo.com/pl/chapter/9788366675643/10.2478/9788366675643-005" TargetMode="External"/><Relationship Id="rId13" Type="http://schemas.openxmlformats.org/officeDocument/2006/relationships/hyperlink" Target="https://doi.org/10.1109/TLT.2019.2916802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doi.org/10.1111/bjet.12868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09/TLT.2017.2720670" TargetMode="External"/><Relationship Id="rId15" Type="http://schemas.openxmlformats.org/officeDocument/2006/relationships/hyperlink" Target="https://doi.org/10.1016/j.compedu.2021.104192" TargetMode="External"/><Relationship Id="rId14" Type="http://schemas.openxmlformats.org/officeDocument/2006/relationships/hyperlink" Target="https://doi.org/10.1016/j.chb.2018.05.004" TargetMode="External"/><Relationship Id="rId17" Type="http://schemas.openxmlformats.org/officeDocument/2006/relationships/hyperlink" Target="https://www.sciendo.com/pl/chapter/9788366675643/10.2478/9788366675643-005" TargetMode="External"/><Relationship Id="rId16" Type="http://schemas.openxmlformats.org/officeDocument/2006/relationships/hyperlink" Target="http://dx.doi.org/10.17718/tojde.1298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ciendo.com/pl/chapter/9788366675643/10.2478/9788366675643-00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sciendo.com/pl/chapter/9788366675643/10.2478/9788366675643-005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i.org/10.1109/TLT.2017.27401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oLCIhKucfBO/jc+S67q+Lpwww==">CgMxLjAyDmguaXQwdTg1bnQ5b2poMghoLmdqZGd4czIOaC53eGp3bjljdW45c2IyDmgubGxwbjRkYmpsbGl5Mg5oLm5mNjh1N2h4dDVyaTIOaC4zMDU4ZDJ6OWNwbWIyDmguZDA0eHN1dHN2bG41Mg5oLjJqZnUxcTExazNjNTIOaC5yN3U4bmFmY2VscnUyDmgucGZheGIweWVvY3cwOAByITF0UWhpWllzNm9JOWFuMXlRdFJPWGsyVllTSENUaU1uWg==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2023-01-30T10:39:00Z</dcterms:created>
</cp:coreProperties>
</file>