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76" w:lineRule="auto"/>
        <w:rPr>
          <w:rFonts w:ascii="Calibri" w:cs="Calibri" w:eastAsia="Calibri" w:hAnsi="Calibri"/>
          <w:b w:val="1"/>
          <w:color w:val="000000"/>
          <w:sz w:val="30"/>
          <w:szCs w:val="30"/>
        </w:rPr>
      </w:pPr>
      <w:bookmarkStart w:colFirst="0" w:colLast="0" w:name="_heading=h.it0u85nt9ojh" w:id="0"/>
      <w:bookmarkEnd w:id="0"/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Unitat 2.</w:t>
      </w:r>
      <w:r w:rsidDel="00000000" w:rsidR="00000000" w:rsidRPr="00000000">
        <w:rPr>
          <w:color w:val="00000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rtl w:val="0"/>
        </w:rPr>
        <w:t xml:space="preserve">Analitzar i interpretar dades basades en l'evidència per influir en l'ensenyament i l'aprenentatge (SEGUIMENT / RENDIMENT / ENSENYAMENT I APRENENTATGE)</w:t>
      </w:r>
    </w:p>
    <w:p w:rsidR="00000000" w:rsidDel="00000000" w:rsidP="00000000" w:rsidRDefault="00000000" w:rsidRPr="00000000" w14:paraId="00000002">
      <w:pPr>
        <w:spacing w:line="276" w:lineRule="auto"/>
        <w:ind w:firstLine="280"/>
        <w:jc w:val="center"/>
        <w:rPr>
          <w:rFonts w:ascii="Calibri" w:cs="Calibri" w:eastAsia="Calibri" w:hAnsi="Calibri"/>
          <w:b w:val="1"/>
          <w:color w:val="000000"/>
          <w:sz w:val="30"/>
          <w:szCs w:val="30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47625</wp:posOffset>
            </wp:positionV>
            <wp:extent cx="6081713" cy="3248025"/>
            <wp:effectExtent b="0" l="0" r="0" t="0"/>
            <wp:wrapSquare wrapText="bothSides" distB="19050" distT="19050" distL="19050" distR="19050"/>
            <wp:docPr id="4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1713" cy="3248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120" w:line="276" w:lineRule="auto"/>
        <w:jc w:val="center"/>
        <w:rPr>
          <w:rFonts w:ascii="Georgia" w:cs="Georgia" w:eastAsia="Georgia" w:hAnsi="Georgia"/>
          <w:color w:val="333333"/>
        </w:rPr>
      </w:pPr>
      <w:bookmarkStart w:colFirst="0" w:colLast="0" w:name="_heading=h.wxjwn9cun9sb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rtl w:val="0"/>
        </w:rPr>
        <w:t xml:space="preserve">Figura 1. L'anàlisi de l'aprenentatge com a eina metacognitiva per millorar l'èxit acadèmic dels estudiants (Volungeviciene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30"/>
          <w:szCs w:val="30"/>
          <w:rtl w:val="0"/>
        </w:rPr>
        <w:t xml:space="preserve">et al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rtl w:val="0"/>
        </w:rPr>
        <w:t xml:space="preserve">., 2021, pàg. 175)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00" w:lineRule="auto"/>
        <w:rPr>
          <w:color w:val="000000"/>
          <w:sz w:val="28"/>
          <w:szCs w:val="28"/>
        </w:rPr>
      </w:pPr>
      <w:bookmarkStart w:colFirst="0" w:colLast="0" w:name="_heading=h.llpn4dbjlliy" w:id="3"/>
      <w:bookmarkEnd w:id="3"/>
      <w:r w:rsidDel="00000000" w:rsidR="00000000" w:rsidRPr="00000000">
        <w:rPr>
          <w:color w:val="000000"/>
          <w:sz w:val="40"/>
          <w:szCs w:val="40"/>
          <w:rtl w:val="0"/>
        </w:rPr>
        <w:t xml:space="preserve">INTRODUCCIÓ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Segons el marc de referència DigCompEdu (Punie i Redecker, 2017), l'anàlisi de l'evidència forma part de la competència d'avaluació i és un mitjà per generar, seleccionar, analitzar críticament i interpretar evidència o proves digitals sobre l'activitat, el rendiment i el progrés de l'alumne per tal d'influir en l'ensenyament i l'aprenentatge. 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Aplicant l'analítica d'aprenentatge per analitzar l'evidència, els professors poden ajustar i adaptar el currículum per atendre les necessitats i les habilitats dels estudiants. Les analítiques també són útils perquè els professors planifiquin el reajustament de continguts i estratègies durant el curs segons les necessitats dels estudiants, i personalitzar el seu procés d'aprenentatge i les seves intervencions.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L'analítica d'aprenentatge ofereix informació i coneixements valuosos no només per als professors, sinó també per als estudiants. De fet, augmenta la consciència de les habilitats cognitives dels alumnes i crea un sentit més fort de comunitat (Trespalacios i Perkins, 2016), amb la qual cosa fomenta una implicació més activa dels estudiants. Com Sclater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et. al.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(2016) esmenten, hi ha diferents maneres d'analitzar i interpretar l'evidència, com ara 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desenvolupament de models predictius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(vegeu la introducció conceptual), l'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anàlisi de xarxes socials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que mostren les interaccions dels patrons als fòrums de discussió (Holmes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et al.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2019), i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personalització de l'aprenentatge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orientant els estudiants en la ruta d'aprenentatge amb recomanacions i indicacions sobre el seu progrés.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relació amb el tercer aspecte, la personalització de l'aprenentatge, les solucions de disseny de l'aprenentatge no són coherents i seqüencials per a tots els estudiants. Més aviat, l'ensenyament se centra en un tema ampli que inclou molts recursos diferents i els patrons de comportament dels estudiants són diferents entre ells.</w:t>
      </w:r>
    </w:p>
    <w:p w:rsidR="00000000" w:rsidDel="00000000" w:rsidP="00000000" w:rsidRDefault="00000000" w:rsidRPr="00000000" w14:paraId="00000009">
      <w:pPr>
        <w:spacing w:before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Important!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Per motius de transparència, és important que els estudiants sàpiguen des de la primera classe que el professor pot accedir a les dades relacionades amb la seva participació en l'entorn virtual d'aprenentatge i controlar-les. També és important informar-los d'a quines dades s'accedeix, quines s'analitzen, per a què serveixen i com es garanteix la protecció de les 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both"/>
        <w:rPr>
          <w:color w:val="000000"/>
          <w:sz w:val="32"/>
          <w:szCs w:val="32"/>
        </w:rPr>
      </w:pPr>
      <w:bookmarkStart w:colFirst="0" w:colLast="0" w:name="_heading=h.nf68u7hxt5ri" w:id="4"/>
      <w:bookmarkEnd w:id="4"/>
      <w:r w:rsidDel="00000000" w:rsidR="00000000" w:rsidRPr="00000000">
        <w:rPr>
          <w:color w:val="000000"/>
          <w:sz w:val="32"/>
          <w:szCs w:val="32"/>
          <w:rtl w:val="0"/>
        </w:rPr>
        <w:t xml:space="preserve">Temes</w:t>
      </w:r>
    </w:p>
    <w:p w:rsidR="00000000" w:rsidDel="00000000" w:rsidP="00000000" w:rsidRDefault="00000000" w:rsidRPr="00000000" w14:paraId="0000000B">
      <w:pPr>
        <w:spacing w:line="276" w:lineRule="auto"/>
        <w:ind w:left="708" w:hanging="5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2.1. Com es pot analitzar i interpretar l'evidència disponible sobre l'activitat i el progrés de l'alumne per donar suport a la implicació?</w:t>
      </w:r>
    </w:p>
    <w:p w:rsidR="00000000" w:rsidDel="00000000" w:rsidP="00000000" w:rsidRDefault="00000000" w:rsidRPr="00000000" w14:paraId="0000000C">
      <w:pPr>
        <w:spacing w:line="276" w:lineRule="auto"/>
        <w:ind w:left="708" w:hanging="570"/>
        <w:rPr>
          <w:rFonts w:ascii="Calibri" w:cs="Calibri" w:eastAsia="Calibri" w:hAnsi="Calibri"/>
          <w:color w:val="2f5597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2.2. Com es fan intervencions d'ensenyament i aprenentatge basades en dades mitjançant informes?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="276" w:lineRule="auto"/>
        <w:ind w:left="708" w:hanging="570"/>
        <w:rPr>
          <w:color w:val="000000"/>
          <w:sz w:val="32"/>
          <w:szCs w:val="32"/>
        </w:rPr>
      </w:pPr>
      <w:bookmarkStart w:colFirst="0" w:colLast="0" w:name="_heading=h.3058d2z9cpmb" w:id="5"/>
      <w:bookmarkEnd w:id="5"/>
      <w:r w:rsidDel="00000000" w:rsidR="00000000" w:rsidRPr="00000000">
        <w:rPr>
          <w:color w:val="000000"/>
          <w:sz w:val="32"/>
          <w:szCs w:val="32"/>
          <w:rtl w:val="0"/>
        </w:rPr>
        <w:t xml:space="preserve">Resultats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Utilitzar les tecnologies digitals per proporcionar als estudiants informació específica i en el moment adequat.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Adaptar les estratègies docents i donar suport específic, a partir de l'evidència generada per les tecnologies digitals utilitzades.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Generar, seleccionar, fer una anàlisi crítica i interpretar proves digitals sobre l'activitat, el rendiment i el progrés de l'alumne, per tal d'influir en l'ensenyament i l'aprenentatge.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Utilitzar les tecnologies digitals per permetre als alumnes reflexionar i autoavaluar el seu procés d'aprenentatge.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both"/>
        <w:rPr>
          <w:color w:val="000000"/>
          <w:sz w:val="32"/>
          <w:szCs w:val="32"/>
        </w:rPr>
      </w:pPr>
      <w:bookmarkStart w:colFirst="0" w:colLast="0" w:name="_heading=h.d04xsutsvln5" w:id="6"/>
      <w:bookmarkEnd w:id="6"/>
      <w:r w:rsidDel="00000000" w:rsidR="00000000" w:rsidRPr="00000000">
        <w:rPr>
          <w:color w:val="000000"/>
          <w:sz w:val="32"/>
          <w:szCs w:val="32"/>
          <w:rtl w:val="0"/>
        </w:rPr>
        <w:t xml:space="preserve">DEFINICIONS (eina de glossari)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Progressió de l'aprenentatge: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el progrés de l'aprenentatge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descriu nivells creixents de dificultat i complexitat en l'adquisició de coneixements, habilitats i actituds en un àmbit determinat. Els professors han de ser capaços d'identificar quan i com han d'intervenir perquè els alumnes avancin en el seu aprenentatge.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Rendiment de l'alumne: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és una mesura del grau d'aprenentatge dels estudiants en termes de desenvolupament de coneixements i habilitats. </w:t>
      </w:r>
    </w:p>
    <w:p w:rsidR="00000000" w:rsidDel="00000000" w:rsidP="00000000" w:rsidRDefault="00000000" w:rsidRPr="00000000" w14:paraId="0000001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rPr>
          <w:color w:val="000000"/>
          <w:sz w:val="32"/>
          <w:szCs w:val="32"/>
        </w:rPr>
      </w:pPr>
      <w:bookmarkStart w:colFirst="0" w:colLast="0" w:name="_heading=h.2jfu1q11k3c5" w:id="7"/>
      <w:bookmarkEnd w:id="7"/>
      <w:r w:rsidDel="00000000" w:rsidR="00000000" w:rsidRPr="00000000">
        <w:rPr>
          <w:color w:val="000000"/>
          <w:sz w:val="32"/>
          <w:szCs w:val="32"/>
          <w:rtl w:val="0"/>
        </w:rPr>
        <w:t xml:space="preserve">ESTRATÈGIES I RECOMANACIONS SOBRE COM S'ANALITZEN I S'INTERPRETEN LES PROVES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 del punt de vista pedagògic: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Considerar i decidir quines dades sobre el comportament dels alumnes i el procés i el progrés de l'aprenentatge és important analitzar.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Decidir quines dades són importants d'analitzar durant el semestre i quines al final del semestre/període d'aprenentatge.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Informar els estudiants sobre quines dades genereu, controleu i analitzeu i quines dades poden analitzar ells mateixos.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Analitzar els informes d'activitats dels alumnes que demostrin quantes vegades els alumnes han accedit a cada recurs o activitat d'aprenentatge. Això pot ajudar a comprendre els estils d'aprenentatge dels estudiants i els formats preferits dels recursos d'aprenentatge i a aprendre'n.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Reflexionar sobre quins canvis s'han de fer pel que fa al disseny de l'aprenentatge, al material d'aprenentatge, a les activitats, a les tasques o a les estratègies d'avaluació basades en l'evidència digital;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Oferir el retorn 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feedback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als alumnes sobre el seu progrés en l'aprenentatge.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 del punt de vista tècnic: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Establir i planificar activitats i tasques que ajudin a recollir les dades que es volen.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Integrar eines digitals externes o compatibles amb l'EVA que fomentin la participació activa dels estudiants (per exemple Moodle Mind Map, Mentimeter, Padlet, Jamboard, Google Docs).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Utilitzar eines digitals per donar un retorn oral o escrit als estudiants.</w:t>
      </w:r>
    </w:p>
    <w:p w:rsidR="00000000" w:rsidDel="00000000" w:rsidP="00000000" w:rsidRDefault="00000000" w:rsidRPr="00000000" w14:paraId="00000023">
      <w:pPr>
        <w:keepNext w:val="1"/>
        <w:keepLines w:val="1"/>
        <w:spacing w:after="240" w:before="240" w:line="360" w:lineRule="auto"/>
        <w:jc w:val="both"/>
        <w:rPr>
          <w:sz w:val="28"/>
          <w:szCs w:val="28"/>
        </w:rPr>
      </w:pPr>
      <w:bookmarkStart w:colFirst="0" w:colLast="0" w:name="_heading=h.r7u8nafcelru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1"/>
        <w:spacing w:after="240" w:before="240" w:line="360" w:lineRule="auto"/>
        <w:jc w:val="both"/>
        <w:rPr>
          <w:rFonts w:ascii="Calibri" w:cs="Calibri" w:eastAsia="Calibri" w:hAnsi="Calibri"/>
        </w:rPr>
      </w:pPr>
      <w:bookmarkStart w:colFirst="0" w:colLast="0" w:name="_heading=h.pfaxb0yeocw0" w:id="9"/>
      <w:bookmarkEnd w:id="9"/>
      <w:r w:rsidDel="00000000" w:rsidR="00000000" w:rsidRPr="00000000">
        <w:rPr>
          <w:sz w:val="28"/>
          <w:szCs w:val="28"/>
          <w:rtl w:val="0"/>
        </w:rPr>
        <w:t xml:space="preserve">ALTRES MATERIALS DE LECTURA (OPCIONAL)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Bodily, R., Verbert, K. (2017). Review of research on student-facing learning analytics dashboards and educational recommender systems. I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EEE Transactions on Learning Technologies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(4), 405-418. DOI: </w:t>
      </w:r>
      <w:hyperlink r:id="rId8">
        <w:r w:rsidDel="00000000" w:rsidR="00000000" w:rsidRPr="00000000">
          <w:rPr>
            <w:rFonts w:ascii="Calibri" w:cs="Calibri" w:eastAsia="Calibri" w:hAnsi="Calibri"/>
            <w:rtl w:val="0"/>
          </w:rPr>
          <w:t xml:space="preserve">10.1109/TLT.2017.2740172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  <w:t xml:space="preserve">Charleer, S., Moere, A. V., Klerkx, J., Verbert, K., De Laet, T. (2017). Learning analytics dashboards to support adviser-student dialogue. 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IEEE Transactions on Learning Technologies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(3), 389-399. DOI: </w:t>
      </w:r>
      <w:hyperlink r:id="rId9">
        <w:r w:rsidDel="00000000" w:rsidR="00000000" w:rsidRPr="00000000">
          <w:rPr>
            <w:rFonts w:ascii="Calibri" w:cs="Calibri" w:eastAsia="Calibri" w:hAnsi="Calibri"/>
            <w:rtl w:val="0"/>
          </w:rPr>
          <w:t xml:space="preserve">10.1109/TLT.2017.2720670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Emplit, P. and Zhang, T. (2020). Evidence-based approaches to learning and teaching,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Learning and Teaching Paper #11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Thematic peer group report, EUA. Recuperat de: https://eua.eu/downloads/publications/eua%20report%20evidence-based%20approaches_web.pdf</w:t>
      </w:r>
    </w:p>
    <w:p w:rsidR="00000000" w:rsidDel="00000000" w:rsidP="00000000" w:rsidRDefault="00000000" w:rsidRPr="00000000" w14:paraId="00000027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Er, E., Dimitriadis, Y., Gasevic, D. (2021). Collaborative peer feedback and learning analytics: theory oriented design for supporting class-wide interventions,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Assessment &amp; Evaluation in Higher Education, 46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(2), 169-190. DOI: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https://doi.org/10.1080/02602938.2020.1764490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Holmes, W., Nguyen, Q., Zhang, J., Mavrikis, M., Rienties, B. (2019). Learning analytics for learning design in online distance learning,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Distance Education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11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https://doi.org/10.1080/01587919.2019.1637716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Kitto, K., Knight, S. (2019). Practical ethics for building learning analytics. 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British Journal of Educational Technology, 50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(6), 2855-2870. DOI: </w:t>
      </w:r>
      <w:hyperlink r:id="rId12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https://doi.org/10.1111/bjet.12868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Matcha, W., Gašević, D., Pardo, A. (2019). A systematic review of empirical studies on learning analytics dashboards: A self-regulated learning perspective. 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IEEE Transactions on Learning Technologies, 13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(2), 226-245. DOI: </w:t>
      </w:r>
      <w:hyperlink r:id="rId13">
        <w:r w:rsidDel="00000000" w:rsidR="00000000" w:rsidRPr="00000000">
          <w:rPr>
            <w:rFonts w:ascii="Calibri" w:cs="Calibri" w:eastAsia="Calibri" w:hAnsi="Calibri"/>
            <w:rtl w:val="0"/>
          </w:rPr>
          <w:t xml:space="preserve">10.1109/TLT.2019.2916802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Punie, Y., editor(s), Redecker, C.,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European Framework for the Digital Competence of Educators: DigCompEdu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EUR 28775 EN, Publications Office of the European Union, Luxembourg, 2017. Recuperat de: https://op.europa.eu/en/publication-detail/-/publication/fcc33b68-d581-11e7-a5b9-01aa75ed71a1/language-en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Schumacher, C., Ifenthaler, D. (2018). Features students really expect from learning analytics.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 Computers in human behavior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 78, 397-407.</w:t>
      </w:r>
    </w:p>
    <w:p w:rsidR="00000000" w:rsidDel="00000000" w:rsidP="00000000" w:rsidRDefault="00000000" w:rsidRPr="00000000" w14:paraId="0000002D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Sclater, N., Peasgood, A., and Mullan, J. (2016).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Learning Analytics in Higher Education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Bristol: JISC.</w:t>
      </w:r>
    </w:p>
    <w:p w:rsidR="00000000" w:rsidDel="00000000" w:rsidP="00000000" w:rsidRDefault="00000000" w:rsidRPr="00000000" w14:paraId="0000002E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Sedrakyan, G., Malmberg, J., Verbert, K., Järvelä, S., Kirschner, P. A. (2020). Linking learning behavior analytics and learning science concepts: Designing a learning analytics dashboard for feedback to support learning regulation. 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Computers in Human Behavior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 107, 105512. DOI:</w:t>
        <w:br w:type="textWrapping"/>
      </w:r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https://doi.org/10.1016/j.chb.2018.05.004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Silvola, A., Näykki, P., Kaveri, A., Muukkonen, H. (2021). Expectations for supporting student engagement with learning analytics: An academic path perspective.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Computers &amp; Education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168, 104192. DOI: </w:t>
      </w:r>
      <w:hyperlink r:id="rId15">
        <w:r w:rsidDel="00000000" w:rsidR="00000000" w:rsidRPr="00000000">
          <w:rPr>
            <w:rFonts w:ascii="Calibri" w:cs="Calibri" w:eastAsia="Calibri" w:hAnsi="Calibri"/>
            <w:color w:val="000000"/>
            <w:u w:val="none"/>
            <w:rtl w:val="0"/>
          </w:rPr>
          <w:t xml:space="preserve">https://doi.org/10.1016/j.compedu.2021.104192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Trespalacios, J., Perkins, R. (2016). Sense of community, perceived learning, and achievement relationships in an online graduate course.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Turkish Online Journal of Distance Education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17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(3), 31-49. DOI:</w:t>
      </w:r>
      <w:hyperlink r:id="rId16">
        <w:r w:rsidDel="00000000" w:rsidR="00000000" w:rsidRPr="00000000">
          <w:rPr>
            <w:rFonts w:ascii="Calibri" w:cs="Calibri" w:eastAsia="Calibri" w:hAnsi="Calibri"/>
            <w:rtl w:val="0"/>
          </w:rPr>
          <w:t xml:space="preserve">10.17718/tojde.12984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Calibri" w:cs="Calibri" w:eastAsia="Calibri" w:hAnsi="Calibri"/>
        </w:rPr>
      </w:pPr>
      <w:hyperlink r:id="rId17">
        <w:r w:rsidDel="00000000" w:rsidR="00000000" w:rsidRPr="00000000">
          <w:rPr>
            <w:rFonts w:ascii="Calibri" w:cs="Calibri" w:eastAsia="Calibri" w:hAnsi="Calibri"/>
            <w:rtl w:val="0"/>
          </w:rPr>
          <w:t xml:space="preserve">Volungevičienė, A. (2021). </w:t>
        </w:r>
      </w:hyperlink>
      <w:hyperlink r:id="rId18">
        <w:r w:rsidDel="00000000" w:rsidR="00000000" w:rsidRPr="00000000">
          <w:rPr>
            <w:rFonts w:ascii="Calibri" w:cs="Calibri" w:eastAsia="Calibri" w:hAnsi="Calibri"/>
            <w:i w:val="1"/>
            <w:rtl w:val="0"/>
          </w:rPr>
          <w:t xml:space="preserve">Data Analysis of Case Study Examples. In Learning Analytics: a Metacognitive Tool to Engage Students</w:t>
        </w:r>
      </w:hyperlink>
      <w:hyperlink r:id="rId19">
        <w:r w:rsidDel="00000000" w:rsidR="00000000" w:rsidRPr="00000000">
          <w:rPr>
            <w:rFonts w:ascii="Calibri" w:cs="Calibri" w:eastAsia="Calibri" w:hAnsi="Calibri"/>
            <w:rtl w:val="0"/>
          </w:rPr>
          <w:t xml:space="preserve"> (pp. 73-170). Sciendo.</w:t>
        </w:r>
      </w:hyperlink>
      <w:hyperlink r:id="rId20">
        <w:r w:rsidDel="00000000" w:rsidR="00000000" w:rsidRPr="00000000">
          <w:rPr>
            <w:rFonts w:ascii="Calibri" w:cs="Calibri" w:eastAsia="Calibri" w:hAnsi="Calibri"/>
            <w:rtl w:val="0"/>
          </w:rPr>
          <w:t xml:space="preserve"> DOI: https://doi.org/10.2478/9788366675643-005</w:t>
        </w:r>
      </w:hyperlink>
      <w:hyperlink r:id="rId21">
        <w:r w:rsidDel="00000000" w:rsidR="00000000" w:rsidRPr="00000000">
          <w:rPr>
            <w:rFonts w:ascii="Calibri" w:cs="Calibri" w:eastAsia="Calibri" w:hAnsi="Calibri"/>
            <w:rtl w:val="0"/>
          </w:rPr>
          <w:t xml:space="preserve">. https://www.sciendo.com/pl/chapter/9788366675643/10.2478/9788366675643-005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="276" w:lineRule="auto"/>
        <w:ind w:left="3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before="24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footerReference r:id="rId24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/>
      <w:drawing>
        <wp:inline distB="114300" distT="114300" distL="114300" distR="114300">
          <wp:extent cx="1044677" cy="190500"/>
          <wp:effectExtent b="0" l="0" r="0" t="0"/>
          <wp:docPr id="4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4677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  <w:rtl w:val="0"/>
      </w:rPr>
      <w:t xml:space="preserve">Training material "Monitoring, supporting, and engaging students based on the evidence generated by digital technologies" by</w:t>
    </w:r>
    <w:hyperlink r:id="rId2">
      <w:r w:rsidDel="00000000" w:rsidR="00000000" w:rsidRPr="00000000">
        <w:rPr>
          <w:rFonts w:ascii="Times" w:cs="Times" w:eastAsia="Times" w:hAnsi="Times"/>
          <w:color w:val="1d2125"/>
          <w:sz w:val="19"/>
          <w:szCs w:val="19"/>
          <w:highlight w:val="white"/>
          <w:rtl w:val="0"/>
        </w:rPr>
        <w:t xml:space="preserve"> </w:t>
      </w:r>
    </w:hyperlink>
    <w:hyperlink r:id="rId3">
      <w:r w:rsidDel="00000000" w:rsidR="00000000" w:rsidRPr="00000000">
        <w:rPr>
          <w:rFonts w:ascii="Times" w:cs="Times" w:eastAsia="Times" w:hAnsi="Times"/>
          <w:color w:val="8b1a4a"/>
          <w:sz w:val="19"/>
          <w:szCs w:val="19"/>
          <w:highlight w:val="white"/>
          <w:u w:val="single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  <w:rtl w:val="0"/>
      </w:rPr>
      <w:t xml:space="preserve"> is licensed under a</w:t>
    </w:r>
    <w:hyperlink r:id="rId4">
      <w:r w:rsidDel="00000000" w:rsidR="00000000" w:rsidRPr="00000000">
        <w:rPr>
          <w:rFonts w:ascii="Times" w:cs="Times" w:eastAsia="Times" w:hAnsi="Times"/>
          <w:color w:val="1d2125"/>
          <w:sz w:val="19"/>
          <w:szCs w:val="19"/>
          <w:highlight w:val="white"/>
          <w:rtl w:val="0"/>
        </w:rPr>
        <w:t xml:space="preserve"> </w:t>
      </w:r>
    </w:hyperlink>
    <w:hyperlink r:id="rId5">
      <w:r w:rsidDel="00000000" w:rsidR="00000000" w:rsidRPr="00000000">
        <w:rPr>
          <w:rFonts w:ascii="Times" w:cs="Times" w:eastAsia="Times" w:hAnsi="Times"/>
          <w:color w:val="8b1a4a"/>
          <w:sz w:val="19"/>
          <w:szCs w:val="19"/>
          <w:highlight w:val="white"/>
          <w:u w:val="single"/>
          <w:rtl w:val="0"/>
        </w:rPr>
        <w:t xml:space="preserve">Creative Commons Attribution-ShareAlike 4.0 International License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ind w:left="3120" w:firstLine="0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Material de formació per al </w:t>
      <w:br w:type="textWrapping"/>
      <w:t xml:space="preserve">professorat de l'ESO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28584</wp:posOffset>
          </wp:positionV>
          <wp:extent cx="2033588" cy="430182"/>
          <wp:effectExtent b="0" l="0" r="0" t="0"/>
          <wp:wrapNone/>
          <wp:docPr id="4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28581</wp:posOffset>
          </wp:positionV>
          <wp:extent cx="1446609" cy="428625"/>
          <wp:effectExtent b="0" l="0" r="0" t="0"/>
          <wp:wrapNone/>
          <wp:docPr id="4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ind w:left="2400" w:firstLine="720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UOC_VMU</w:t>
    </w:r>
  </w:p>
  <w:p w:rsidR="00000000" w:rsidDel="00000000" w:rsidP="00000000" w:rsidRDefault="00000000" w:rsidRPr="00000000" w14:paraId="00000037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DB24DF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21E87"/>
  </w:style>
  <w:style w:type="paragraph" w:styleId="Footer">
    <w:name w:val="footer"/>
    <w:basedOn w:val="Normal"/>
    <w:link w:val="FooterCh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21E87"/>
  </w:style>
  <w:style w:type="paragraph" w:styleId="ListParagraph">
    <w:name w:val="List Paragraph"/>
    <w:basedOn w:val="Normal"/>
    <w:uiPriority w:val="34"/>
    <w:qFormat w:val="1"/>
    <w:rsid w:val="00420F8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420F85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420F85"/>
  </w:style>
  <w:style w:type="character" w:styleId="ref-lnk" w:customStyle="1">
    <w:name w:val="ref-lnk"/>
    <w:basedOn w:val="DefaultParagraphFont"/>
    <w:rsid w:val="00721C9E"/>
  </w:style>
  <w:style w:type="character" w:styleId="singlehighlightclass" w:customStyle="1">
    <w:name w:val="single_highlight_class"/>
    <w:basedOn w:val="DefaultParagraphFont"/>
    <w:rsid w:val="00721C9E"/>
  </w:style>
  <w:style w:type="character" w:styleId="searchnone" w:customStyle="1">
    <w:name w:val="searchnone"/>
    <w:basedOn w:val="DefaultParagraphFont"/>
    <w:rsid w:val="0039043D"/>
  </w:style>
  <w:style w:type="table" w:styleId="a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56D2B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56D2B"/>
    <w:rPr>
      <w:rFonts w:ascii="Segoe UI" w:cs="Segoe UI" w:hAnsi="Segoe UI"/>
      <w:sz w:val="18"/>
      <w:szCs w:val="18"/>
    </w:rPr>
  </w:style>
  <w:style w:type="character" w:styleId="Mencisenseresoldre1" w:customStyle="1">
    <w:name w:val="Menció sense resoldre1"/>
    <w:basedOn w:val="DefaultParagraphFont"/>
    <w:uiPriority w:val="99"/>
    <w:semiHidden w:val="1"/>
    <w:unhideWhenUsed w:val="1"/>
    <w:rsid w:val="008B0E77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9A2216"/>
    <w:rPr>
      <w:rFonts w:cs="Mangal"/>
      <w:szCs w:val="21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A2216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i.org/10.2478/9788366675643-005" TargetMode="External"/><Relationship Id="rId11" Type="http://schemas.openxmlformats.org/officeDocument/2006/relationships/hyperlink" Target="https://doi.org/10.1080/01587919.2019.1637716" TargetMode="External"/><Relationship Id="rId22" Type="http://schemas.openxmlformats.org/officeDocument/2006/relationships/header" Target="header1.xml"/><Relationship Id="rId10" Type="http://schemas.openxmlformats.org/officeDocument/2006/relationships/hyperlink" Target="https://doi.org/10.1080/02602938.2020.1764490" TargetMode="External"/><Relationship Id="rId21" Type="http://schemas.openxmlformats.org/officeDocument/2006/relationships/hyperlink" Target="https://www.sciendo.com/pl/chapter/9788366675643/10.2478/9788366675643-005" TargetMode="External"/><Relationship Id="rId13" Type="http://schemas.openxmlformats.org/officeDocument/2006/relationships/hyperlink" Target="https://doi.org/10.1109/TLT.2019.2916802" TargetMode="External"/><Relationship Id="rId24" Type="http://schemas.openxmlformats.org/officeDocument/2006/relationships/footer" Target="footer1.xml"/><Relationship Id="rId12" Type="http://schemas.openxmlformats.org/officeDocument/2006/relationships/hyperlink" Target="https://doi.org/10.1111/bjet.12868" TargetMode="External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109/TLT.2017.2720670" TargetMode="External"/><Relationship Id="rId15" Type="http://schemas.openxmlformats.org/officeDocument/2006/relationships/hyperlink" Target="https://doi.org/10.1016/j.compedu.2021.104192" TargetMode="External"/><Relationship Id="rId14" Type="http://schemas.openxmlformats.org/officeDocument/2006/relationships/hyperlink" Target="https://doi.org/10.1016/j.chb.2018.05.004" TargetMode="External"/><Relationship Id="rId17" Type="http://schemas.openxmlformats.org/officeDocument/2006/relationships/hyperlink" Target="https://www.sciendo.com/pl/chapter/9788366675643/10.2478/9788366675643-005" TargetMode="External"/><Relationship Id="rId16" Type="http://schemas.openxmlformats.org/officeDocument/2006/relationships/hyperlink" Target="http://dx.doi.org/10.17718/tojde.12984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sciendo.com/pl/chapter/9788366675643/10.2478/9788366675643-005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sciendo.com/pl/chapter/9788366675643/10.2478/9788366675643-005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oi.org/10.1109/TLT.2017.274017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teacamp.vdu.lt/course/view.php?id=91" TargetMode="External"/><Relationship Id="rId3" Type="http://schemas.openxmlformats.org/officeDocument/2006/relationships/hyperlink" Target="https://teacamp.vdu.lt/course/view.php?id=91" TargetMode="External"/><Relationship Id="rId4" Type="http://schemas.openxmlformats.org/officeDocument/2006/relationships/hyperlink" Target="http://creativecommons.org/licenses/by-sa/4.0/" TargetMode="External"/><Relationship Id="rId5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oLCIhKucfBO/jc+S67q+Lpwww==">CgMxLjAyDmguaXQwdTg1bnQ5b2poMghoLmdqZGd4czIOaC53eGp3bjljdW45c2IyDmgubGxwbjRkYmpsbGl5Mg5oLm5mNjh1N2h4dDVyaTIOaC4zMDU4ZDJ6OWNwbWIyDmguZDA0eHN1dHN2bG41Mg5oLjJqZnUxcTExazNjNTIOaC5yN3U4bmFmY2VscnUyDmgucGZheGIweWVvY3cwOAByITF0UWhpWllzNm9JOWFuMXlRdFJPWGsyVllTSENUaU1uWg==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2023-01-30T10:39:00Z</dcterms:created>
</cp:coreProperties>
</file>