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Dissenyar estratègies d'ensenyament i aprenentatge basades en l'evidència que fomentin l'autoregulació de l'aprenentatge en l'EVA (FASE PREVISIÓ/PLANIFICACIÓ/DISSENY)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Qüestionari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1. Quines de les afirmacions següents són certes sobre els EVA? (Es pot seleccionar més d'una resposta.)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Els EVA faciliten una sèrie d'oportunitats interactives per a la metacognició i la reflexió sobre el propi aprenentatge (com ara els portafolis dels alumnes).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Els EVA faciliten l'aportació de retorn a través dels fòrums.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Els EVA ofereixen diferents solucions tècniques així com eines per facilitar la comunicació i la cooperació (com ara el xat, els wikis o Padlet).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Els EVA fan que planificar i dissenyar lliçons, fer un seguiment del rendiment dels estudiants i controlar l'eficiència del pla d'estudis del curs sigui més complicat per als professors.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Incorrecte.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rFonts w:ascii="Calibri" w:cs="Calibri" w:eastAsia="Calibri" w:hAnsi="Calibri"/>
          <w:i w:val="1"/>
          <w:color w:val="00ff0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La investigació confirma que amb els EVA és més fàcil mesurar l'eficiència del disseny de l'aprenentatge, gestionar la càrrega de treball administratiu i, al mateix temps, supervisar i analitzar el rendiment i el nivell de compromís dels estudiants.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2. Quines accions ha de tenir en compte un professor a l'hora de dissenyar l'estructura d'un curs? (Es pot seleccionar més d'una resposta.)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Aclarir quins recursos són opcionals i quins són obligatoris.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Comprovar que l'estructura del curs és coherent i clara.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No mostrar als alumnes la via d'aprenentatge a Moodle per fer que el curs sigui més desafiant per als estudiants.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highlight w:val="white"/>
          <w:rtl w:val="0"/>
        </w:rPr>
        <w:t xml:space="preserve">Incorrecte! La ruta d'aprenentatge s'ha de mostrar des del principi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Explicar els criteris i els requisits per acabar el curs amb èxit.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3. Amb quins dels mitjans següents és possible que els professors facin que els estudiants s'impliquin en l'aprenentatge i generin proves del seu compromís?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Enquestes de retorn o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feedback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Incorrecte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Preguntes obertes al fòrum.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Incorrecte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Activitats d'avaluació entre iguals.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Incorrecte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Tot l'anterior.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i w:val="1"/>
          <w:color w:val="00f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Les activitats de qüestionari de Moodle es poden utilitzar tant per a l'avaluació acumulativa com per a l'avaluació formativa.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Cert.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Fals.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Incorrecte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Quins paràmetres d'activitat del curs poden ajudar a donar suport a l'autoregulació de l'aprenentatge dels estudiants?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(Es pot seleccionar més d'una resposta.)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Disponibilitat (terminis de l'activitat).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 Els estudiants rebran recordatoris dels terminis un cop finalitzada la configuració de disponibilitat.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Compleció o finalització de l'activitat.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 Correcte! Un cop establert el seguiment de compleció de les activitats d'aprenentatge més importants, els estudiants podran controlar el seu progrés d'aprenentatge mitjançant la barra de compleció o finalització i, per tant, planificar el seu aprenentatge en conseqüència.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Tipus de lliurament de fitxers.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Incorrecte. La configuració del tipus de lliurament fa referència al nombre i al tipus de documents que es poden penjar com a lliuraments dels estudiants. Aquests paràmetres no admeten l'autoregulació dels estudiants.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Tipus de retorn 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feedback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  <w:r w:rsidDel="00000000" w:rsidR="00000000" w:rsidRPr="00000000">
        <w:rPr>
          <w:rFonts w:ascii="Calibri" w:cs="Calibri" w:eastAsia="Calibri" w:hAnsi="Calibri"/>
          <w:i w:val="1"/>
          <w:color w:val="54823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Correcte! Tenir la possibilitat de fer i rebre comentaris sobre una tasca determinada permet que els estudiants reflexionin sobre el seu aprenentatge i repensin les seves estratègies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 Seleccioneu una estratègia d'aprenentatge que no admeti l'autoregulació de l'aprenentatge dels estudiants.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ff000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Presentar una guia d'estudi amb tots els temes, terminis i expectatives.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Incorrecte</w:t>
      </w:r>
      <w:r w:rsidDel="00000000" w:rsidR="00000000" w:rsidRPr="00000000">
        <w:rPr>
          <w:rFonts w:ascii="Calibri" w:cs="Calibri" w:eastAsia="Calibri" w:hAnsi="Calibri"/>
          <w:i w:val="1"/>
          <w:color w:val="b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 tenir en compte l'experiència i els coneixements previs dels estudiants i centrar-se en el contingut del curs que es dissenya abans del semestre.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 Correcte! És important conèixer els alumnes i dissenyar un curs que sigui atractiu, proporcionant el que els estudiants necessiten saber.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Dissenyar activitats d'autoavaluació perquè els estudiants reflexionin sobre el que ja saben i el que encara necessiten aprendre per superar amb èxit un curs o lliurar una tasca.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Incorrecte</w:t>
      </w:r>
      <w:r w:rsidDel="00000000" w:rsidR="00000000" w:rsidRPr="00000000">
        <w:rPr>
          <w:rFonts w:ascii="Calibri" w:cs="Calibri" w:eastAsia="Calibri" w:hAnsi="Calibri"/>
          <w:i w:val="1"/>
          <w:color w:val="b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Dissenyar activitats de retorn en què es demani als estudiants que comparteixin les seves idees sobre la utilitat dels recursos del curs.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Incorrecte</w:t>
      </w:r>
      <w:r w:rsidDel="00000000" w:rsidR="00000000" w:rsidRPr="00000000">
        <w:rPr>
          <w:rFonts w:ascii="Calibri" w:cs="Calibri" w:eastAsia="Calibri" w:hAnsi="Calibri"/>
          <w:i w:val="1"/>
          <w:color w:val="b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Preguntes d'autoreflexió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befor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Quines activitats d'aprenentatge dissenyaríeu per animar els estudiants a compartir el seu nivell de comprensió d'un tema/concepte?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Quines activitats d'aprenentatge us poden ajudar a conèixer les experiències prèvies dels estudiants per adaptar-hi els continguts d'aprenentatge?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Quins paràmetres d'activitat s'han de configurar per generar dades sobre la implicació dels estudiants i el disseny de l'aprenentatge?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Quines activitats es poden dissenyar per afavorir l'autoreflexió dels alumnes sobre el seu procés d'aprenentatge? Quines eines poden donar suport a aquestes activitats?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Quines activitats planejaríeu per recollir informació sobre com es pot millorar el disseny del curs?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/>
      <w:drawing>
        <wp:inline distB="114300" distT="114300" distL="114300" distR="114300">
          <wp:extent cx="1044677" cy="190500"/>
          <wp:effectExtent b="0" l="0" r="0" t="0"/>
          <wp:docPr id="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4677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  <w:rtl w:val="0"/>
      </w:rPr>
      <w:t xml:space="preserve">Training material "Monitoring, supporting, and engaging students based on the evidence generated by digital technologies" by</w:t>
    </w:r>
    <w:hyperlink r:id="rId2">
      <w:r w:rsidDel="00000000" w:rsidR="00000000" w:rsidRPr="00000000">
        <w:rPr>
          <w:rFonts w:ascii="Times" w:cs="Times" w:eastAsia="Times" w:hAnsi="Times"/>
          <w:color w:val="1d2125"/>
          <w:sz w:val="19"/>
          <w:szCs w:val="19"/>
          <w:highlight w:val="white"/>
          <w:rtl w:val="0"/>
        </w:rPr>
        <w:t xml:space="preserve"> </w:t>
      </w:r>
    </w:hyperlink>
    <w:hyperlink r:id="rId3">
      <w:r w:rsidDel="00000000" w:rsidR="00000000" w:rsidRPr="00000000">
        <w:rPr>
          <w:rFonts w:ascii="Times" w:cs="Times" w:eastAsia="Times" w:hAnsi="Times"/>
          <w:color w:val="8b1a4a"/>
          <w:sz w:val="19"/>
          <w:szCs w:val="19"/>
          <w:highlight w:val="white"/>
          <w:u w:val="single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  <w:rtl w:val="0"/>
      </w:rPr>
      <w:t xml:space="preserve"> is licensed under a</w:t>
    </w:r>
    <w:hyperlink r:id="rId4">
      <w:r w:rsidDel="00000000" w:rsidR="00000000" w:rsidRPr="00000000">
        <w:rPr>
          <w:rFonts w:ascii="Times" w:cs="Times" w:eastAsia="Times" w:hAnsi="Times"/>
          <w:color w:val="1d2125"/>
          <w:sz w:val="19"/>
          <w:szCs w:val="19"/>
          <w:highlight w:val="white"/>
          <w:rtl w:val="0"/>
        </w:rPr>
        <w:t xml:space="preserve"> </w:t>
      </w:r>
    </w:hyperlink>
    <w:hyperlink r:id="rId5">
      <w:r w:rsidDel="00000000" w:rsidR="00000000" w:rsidRPr="00000000">
        <w:rPr>
          <w:rFonts w:ascii="Times" w:cs="Times" w:eastAsia="Times" w:hAnsi="Times"/>
          <w:color w:val="8b1a4a"/>
          <w:sz w:val="19"/>
          <w:szCs w:val="19"/>
          <w:highlight w:val="white"/>
          <w:u w:val="single"/>
          <w:rtl w:val="0"/>
        </w:rPr>
        <w:t xml:space="preserve">Creative Commons Attribution-ShareAlike 4.0 International License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ind w:left="3120" w:firstLine="0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Material de formació per al </w:t>
      <w:br w:type="textWrapping"/>
      <w:t xml:space="preserve">professorat de l'ESO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28583</wp:posOffset>
          </wp:positionV>
          <wp:extent cx="2033588" cy="430182"/>
          <wp:effectExtent b="0" l="0" r="0" t="0"/>
          <wp:wrapNone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</wp:posOffset>
          </wp:positionH>
          <wp:positionV relativeFrom="paragraph">
            <wp:posOffset>28580</wp:posOffset>
          </wp:positionV>
          <wp:extent cx="1446609" cy="428625"/>
          <wp:effectExtent b="0" l="0" r="0" t="0"/>
          <wp:wrapNone/>
          <wp:docPr id="3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ind w:left="2400" w:firstLine="720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UOC_VMU</w:t>
    </w:r>
  </w:p>
  <w:p w:rsidR="00000000" w:rsidDel="00000000" w:rsidP="00000000" w:rsidRDefault="00000000" w:rsidRPr="00000000" w14:paraId="0000002E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" w:cs="Noto Sans" w:eastAsia="Noto Sans" w:hAnsi="Noto San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" w:cs="Noto Sans" w:eastAsia="Noto Sans" w:hAnsi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" w:cs="Noto Sans" w:eastAsia="Noto Sans" w:hAnsi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cs="Noto Sans" w:eastAsia="Noto Sans" w:hAnsi="Noto San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" w:cs="Noto Sans" w:eastAsia="Noto Sans" w:hAnsi="Noto San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DB24DF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21E87"/>
  </w:style>
  <w:style w:type="paragraph" w:styleId="Footer">
    <w:name w:val="footer"/>
    <w:basedOn w:val="Normal"/>
    <w:link w:val="FooterCh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21E87"/>
  </w:style>
  <w:style w:type="paragraph" w:styleId="ListParagraph">
    <w:name w:val="List Paragraph"/>
    <w:basedOn w:val="Normal"/>
    <w:uiPriority w:val="34"/>
    <w:qFormat w:val="1"/>
    <w:rsid w:val="00420F8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420F85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420F85"/>
  </w:style>
  <w:style w:type="character" w:styleId="ref-lnk" w:customStyle="1">
    <w:name w:val="ref-lnk"/>
    <w:basedOn w:val="DefaultParagraphFont"/>
    <w:rsid w:val="00721C9E"/>
  </w:style>
  <w:style w:type="character" w:styleId="singlehighlightclass" w:customStyle="1">
    <w:name w:val="single_highlight_class"/>
    <w:basedOn w:val="DefaultParagraphFont"/>
    <w:rsid w:val="00721C9E"/>
  </w:style>
  <w:style w:type="character" w:styleId="searchnone" w:customStyle="1">
    <w:name w:val="searchnone"/>
    <w:basedOn w:val="DefaultParagraphFont"/>
    <w:rsid w:val="0039043D"/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03B25"/>
    <w:rPr>
      <w:rFonts w:ascii="Tahoma" w:cs="Mangal" w:hAnsi="Tahoma"/>
      <w:sz w:val="16"/>
      <w:szCs w:val="14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03B25"/>
    <w:rPr>
      <w:rFonts w:ascii="Tahoma" w:cs="Mangal" w:hAnsi="Tahoma"/>
      <w:sz w:val="16"/>
      <w:szCs w:val="14"/>
    </w:rPr>
  </w:style>
  <w:style w:type="paragraph" w:styleId="Revision">
    <w:name w:val="Revision"/>
    <w:hidden w:val="1"/>
    <w:uiPriority w:val="99"/>
    <w:semiHidden w:val="1"/>
    <w:rsid w:val="00760522"/>
    <w:rPr>
      <w:rFonts w:cs="Mangal"/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teacamp.vdu.lt/course/view.php?id=91" TargetMode="External"/><Relationship Id="rId3" Type="http://schemas.openxmlformats.org/officeDocument/2006/relationships/hyperlink" Target="https://teacamp.vdu.lt/course/view.php?id=91" TargetMode="External"/><Relationship Id="rId4" Type="http://schemas.openxmlformats.org/officeDocument/2006/relationships/hyperlink" Target="http://creativecommons.org/licenses/by-sa/4.0/" TargetMode="External"/><Relationship Id="rId5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9lJ2MmX7wrp5UpKSVtX8GYPKtg==">CgMxLjA4AHIhMTRPUDlVVGh3TmRYaEpGUTdGZGFYclNzS2JMaFg3RVE1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2023-01-30T10:11:00Z</dcterms:created>
</cp:coreProperties>
</file>