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00" w:lineRule="auto"/>
        <w:rPr>
          <w:rFonts w:ascii="Calibri" w:cs="Calibri" w:eastAsia="Calibri" w:hAnsi="Calibri"/>
          <w:b w:val="1"/>
          <w:color w:val="000000"/>
          <w:sz w:val="40"/>
          <w:szCs w:val="4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40"/>
          <w:szCs w:val="40"/>
          <w:rtl w:val="0"/>
        </w:rPr>
        <w:t xml:space="preserve">Unitat 1. Dissenyar estratègies d'ensenyament i aprenentatge basades en l'evidència que fomentin l'autoregulació de l'aprenentatge en l'EVA</w:t>
      </w:r>
    </w:p>
    <w:p w:rsidR="00000000" w:rsidDel="00000000" w:rsidP="00000000" w:rsidRDefault="00000000" w:rsidRPr="00000000" w14:paraId="0000000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before="400" w:lineRule="auto"/>
        <w:jc w:val="center"/>
        <w:rPr>
          <w:rFonts w:ascii="Calibri" w:cs="Calibri" w:eastAsia="Calibri" w:hAnsi="Calibri"/>
          <w:b w:val="1"/>
          <w:sz w:val="40"/>
          <w:szCs w:val="40"/>
        </w:rPr>
      </w:pPr>
      <w:bookmarkStart w:colFirst="0" w:colLast="0" w:name="_heading=h.m41ql0wgquai" w:id="1"/>
      <w:bookmarkEnd w:id="1"/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</w:rPr>
        <w:drawing>
          <wp:inline distB="114300" distT="114300" distL="114300" distR="114300">
            <wp:extent cx="4776788" cy="3186967"/>
            <wp:effectExtent b="0" l="0" r="0" t="0"/>
            <wp:docPr id="5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76788" cy="318696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360" w:lineRule="auto"/>
        <w:rPr>
          <w:rFonts w:ascii="Calibri" w:cs="Calibri" w:eastAsia="Calibri" w:hAnsi="Calibri"/>
          <w:color w:val="000000"/>
          <w:sz w:val="32"/>
          <w:szCs w:val="32"/>
        </w:rPr>
      </w:pPr>
      <w:bookmarkStart w:colFirst="0" w:colLast="0" w:name="_heading=h.dcn5xjhd7pgl" w:id="2"/>
      <w:bookmarkEnd w:id="2"/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Introducció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Quan es dissenyen estratègies d'ensenyament i aprenentatge basades en l'evidència, és important no només parlar de quines dades es poden recollir, sinó també centrar-se en com es pot dissenyar l'ensenyament i l'aprenentatge d'una manera que doni suport a l'aprenentatge metacognitiu dels estudiants. Saber quines estratègies metacognitives donen suport a la implicació, el rendiment i l'autoregulació de l'aprenentatge de l'estudiant us pot ajudar a decidir quines eines utilitzareu per recollir evidència digital sobre el comportament dels estudiants.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Una bona analítica d'aprenentatge comença per pensar com es configuren les activitats i les eines, i com generaran proves i dades que podrien influir en l'ensenyament i l'aprenentatge. Aquesta fase de disseny de l'aprenentatge fa referència a les estratègies de planificació per a la recollida de dades, és a dir, quan els professors planifiquen i desenvolupen el currículum i el curs. A l'hora de dissenyar el curs, el professor ha de planificar prèviament les activitats, les tasques, les avaluacions, els recursos d'aprenentatge i les eines, els quals han de generar dades sobre el progrés dels estudiants i permetre augmentar la conscienciació del professorat i els alumnes sobre el procés i el progrés d'aprenentatge.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aquesta unitat us mostrarem com es poden dissenyar estratègies d'ensenyament i aprenentatge metacognitives (1.1.), com es poden configurar les activitats del curs per fer un seguiment de la implicació dels estudiants (1.2.) i, finalment, com es poden seleccionar i incorporar eines digitals que capturin dades sobre el progrés de l'estudiant (1.3.). </w:t>
      </w:r>
    </w:p>
    <w:p w:rsidR="00000000" w:rsidDel="00000000" w:rsidP="00000000" w:rsidRDefault="00000000" w:rsidRPr="00000000" w14:paraId="0000000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360" w:line="276" w:lineRule="auto"/>
        <w:jc w:val="both"/>
        <w:rPr>
          <w:rFonts w:ascii="Calibri" w:cs="Calibri" w:eastAsia="Calibri" w:hAnsi="Calibri"/>
          <w:color w:val="000000"/>
          <w:sz w:val="32"/>
          <w:szCs w:val="32"/>
        </w:rPr>
      </w:pPr>
      <w:bookmarkStart w:colFirst="0" w:colLast="0" w:name="_heading=h.x7y9mhq4t8ac" w:id="3"/>
      <w:bookmarkEnd w:id="3"/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Temes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1.1. Com es poden dissenyar estratègies d'ensenyament i aprenentatge metacognitives? 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1.2. Com es poden configurar les activitats del curs per fer un seguiment de la implicació dels estudiants?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1.3. Com es poden seleccionar i incorporar eines digitals que capturin dades sobre el progrés dels estudiants?</w:t>
      </w:r>
    </w:p>
    <w:p w:rsidR="00000000" w:rsidDel="00000000" w:rsidP="00000000" w:rsidRDefault="00000000" w:rsidRPr="00000000" w14:paraId="0000000D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360" w:line="276" w:lineRule="auto"/>
        <w:rPr>
          <w:rFonts w:ascii="Calibri" w:cs="Calibri" w:eastAsia="Calibri" w:hAnsi="Calibri"/>
          <w:color w:val="000000"/>
          <w:sz w:val="32"/>
          <w:szCs w:val="32"/>
        </w:rPr>
      </w:pPr>
      <w:bookmarkStart w:colFirst="0" w:colLast="0" w:name="_heading=h.y1afnqh1xc2c" w:id="4"/>
      <w:bookmarkEnd w:id="4"/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Resultats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Dissenyar estratègies d'ensenyament i aprenentatge metacognitives que facilitin la implicació dels estudiants.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Seleccionar i configurar eines que donin suport a les activitats d'aprenentatge metacognitiu i generar dades sobre el disseny de l'aprenentatge o el progrés de l'aprenentatge.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76" w:lineRule="auto"/>
        <w:ind w:left="425" w:hanging="360"/>
        <w:jc w:val="both"/>
        <w:rPr>
          <w:rFonts w:ascii="Calibri" w:cs="Calibri" w:eastAsia="Calibri" w:hAnsi="Calibri"/>
        </w:rPr>
      </w:pPr>
      <w:bookmarkStart w:colFirst="0" w:colLast="0" w:name="_heading=h.30j0zll" w:id="5"/>
      <w:bookmarkEnd w:id="5"/>
      <w:r w:rsidDel="00000000" w:rsidR="00000000" w:rsidRPr="00000000">
        <w:rPr>
          <w:rFonts w:ascii="Calibri" w:cs="Calibri" w:eastAsia="Calibri" w:hAnsi="Calibri"/>
          <w:rtl w:val="0"/>
        </w:rPr>
        <w:t xml:space="preserve">Utilitzar les tecnologies digitals per proporcionar als estudiants un retorn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feedback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 específic i en el moment adequat.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76" w:lineRule="auto"/>
        <w:ind w:left="425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Utilitzar tecnologies digitals (com ara blogs, diaris, eines de planificació) per permetre que els estudiants planifiquin el seu propi aprenentatge.</w:t>
      </w:r>
    </w:p>
    <w:p w:rsidR="00000000" w:rsidDel="00000000" w:rsidP="00000000" w:rsidRDefault="00000000" w:rsidRPr="00000000" w14:paraId="0000001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360" w:line="276" w:lineRule="auto"/>
        <w:jc w:val="both"/>
        <w:rPr>
          <w:rFonts w:ascii="Calibri" w:cs="Calibri" w:eastAsia="Calibri" w:hAnsi="Calibri"/>
          <w:color w:val="000000"/>
          <w:sz w:val="32"/>
          <w:szCs w:val="32"/>
        </w:rPr>
      </w:pPr>
      <w:bookmarkStart w:colFirst="0" w:colLast="0" w:name="_heading=h.z7cziyh48jpm" w:id="6"/>
      <w:bookmarkEnd w:id="6"/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Definicions (glossari de Moodle)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Dades: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 el context d'aquest marc de referència, les dades són la informació que recollim sobre els estudiants. Poden procedir de formularis, tests, la interacció dels alumnes amb recursos o activitats d'aprenentatge,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Alfabetització de dades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es tracta de la capacitat de trobar, avaluar i llegir dades de manera crítica, sovint més enllà de la seva forma numèrica i quantitativa. L'analítica d'aprenentatge (AA)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se centra en la recollida i la generació de dades dels alumnes per millorar les experiències d'ensenyament i aprenentatge. No obstant això, depèn de les habilitats d'alfabetització digital dels professors i els estudiants que les dades generades amb l'AA influeixin en l'ensenyament i l'aprenentatge. 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Times" w:cs="Times" w:eastAsia="Times" w:hAnsi="Times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Ensenyament i aprenentatge basats en l'evidència: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l'aprenentatge i l'ensenyament basats en l'evidència, tal com descriu l'informe de l'EUA, inclouen diversos passos: (1) determinació de la qüestió que es vol abordar, (2) recollida i anàlisi de l'evidència, (3) disseny, objectius i indicadors d'avaluació, (4) implementació i pràctica, (5) presa de decisions basades en l'evidència per millorar el procés (Emplit i Zhang, 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Analítica d'aprenentatge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: és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una eina d'avaluació, interpretació i anàlisi de dades generades per l'alumne en l'entorn d'aprenentatge en línia, per tal de fer que els processos d'aprenentatge i ensenyament siguin més eficients per part del professor, quant a les intervencions necessàries per assessorar o consultar els alumnes en el moment adequat per millorar el seu èxit acadèmic (Volungeviciene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et 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., 2021, 12). Hi ha quatre categories principals de l'analítica de l'aprenentatge: (1) descriptiva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(què ha passat?); (2) predictiva (què passarà després?); (3) diagnòstica (per què va passar?); (4) prescriptiva (fes això per millorar).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line="360" w:lineRule="auto"/>
        <w:ind w:left="720" w:hanging="360"/>
        <w:jc w:val="both"/>
        <w:rPr>
          <w:rFonts w:ascii="Calibri" w:cs="Calibri" w:eastAsia="Calibri" w:hAnsi="Calibri"/>
          <w:color w:val="212121"/>
        </w:rPr>
      </w:pPr>
      <w:r w:rsidDel="00000000" w:rsidR="00000000" w:rsidRPr="00000000">
        <w:rPr>
          <w:rFonts w:ascii="Calibri" w:cs="Calibri" w:eastAsia="Calibri" w:hAnsi="Calibri"/>
          <w:b w:val="1"/>
          <w:color w:val="212121"/>
          <w:rtl w:val="0"/>
        </w:rPr>
        <w:t xml:space="preserve">Presa de decisions metacognitives</w:t>
      </w:r>
      <w:r w:rsidDel="00000000" w:rsidR="00000000" w:rsidRPr="00000000">
        <w:rPr>
          <w:rFonts w:ascii="Calibri" w:cs="Calibri" w:eastAsia="Calibri" w:hAnsi="Calibri"/>
          <w:color w:val="212121"/>
          <w:rtl w:val="0"/>
        </w:rPr>
        <w:t xml:space="preserve">: es tracta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prendre consciència de les decisions específiques de disseny de l'ensenyament i l'aprenentatge i els motius d'aquestes decisions (Griffith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et 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., 2016)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Times" w:cs="Times" w:eastAsia="Times" w:hAnsi="Times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Autoregulació de l'aprenentatge: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l'autoregulació de l'aprenentatge és un marc conceptual important que inclou diversos aspectes de l'aprenentatge: cognitiu, metacognitiu, conductual, motivacional i emocional (Panadero, 2017). Zimmerman (2000) va desenvolupar un model de fases cícliques de l'autoregulació de l'aprenentatge organitzat en tres fases: (1) previsió, (2) actuació i (3) autoreflexió. En una primera fase, els alumnes estableixen els seus objectius, activen estratègies d'aprenentatge i intenten assolir els seus objectius; en la fase d'actuació, executen la tasca, controlen el seu progrés i utilitzen estratègies per mantenir la implicació i la motivació. Finalment, en la fase d'autoreflexió, els alumnes avaluen la seva actuació, cosa que afectarà positivament o negativament el seu rendiment posterior (Zimmerman i Moylen, 2009; Baker, 2017).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Competències: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és una afirmació general que descriu els coneixements, les habilitats i els comportaments que es vol que hagi aconseguit un estudiant que es gradua d'un programa (o completa un curs). Les competències solen definir les habilitats i els coneixements aplicats que permeten a les persones actuar amb èxit en contextos professionals, educatius i altres contextos de la vida (Gosselin, 2020).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Roboto" w:cs="Roboto" w:eastAsia="Roboto" w:hAnsi="Roboto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Resultats d'aprenentatge: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és una afirmació específica que descriu exactament el que un estudiant serà capaç de fer d'alguna manera mesurable. Pot haver-hi més d'un resultat mesurable definit per a una competència determinada (Gosselin, 2020).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Presència social: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segons Rourke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et 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(2001, pàg. 51), "la presència social és la capacitat dels estudiants de projectar les seves característiques personals a la comunitat d'investigació, i, per tant, de presentant-se com a 'persones reals'".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SRL: autoregulació de l’aprenentatge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self-regulated learning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AA: analítica d'aprenentatge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MOOC: curs en línia massiu obert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LAD: panell de control de l'analítica d'aprenentatge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learning analytics dashboard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EVA: entorn virtual d'aprenentatge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LMS: sistema de gestió de l'aprenentatge (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learning management system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40" w:before="40" w:line="276" w:lineRule="auto"/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Evidència digital: informació i dades de valor per a una investigació que s'emmagatzemen, es reben o es transmeten mitjançant un dispositiu electrònic (Electronic CSI, 2008).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40" w:before="40" w:line="276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Metacognició: un component crític de l'aprenentatge d'èxit, que implica l'autoregulació i l'autoreflexió del procés d'aprenentatge i controla els processos de pensament (Medina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et al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., 2017).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40" w:before="40"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Estratègies d'ensenyament i aprenentatge: tècniques i mètodes que aplica un professor per donar suport a l'aprenentatge dels estudiants. Les estratègies d'ensenyament efectives inclouen la planificació prèvia, l'esborrany dels objectius d'aprenentatge i els criteris per a l'èxit i l'aportació constant de retorn (Maine, N/A; Govern de NSW, 2022). </w:t>
      </w:r>
    </w:p>
    <w:p w:rsidR="00000000" w:rsidDel="00000000" w:rsidP="00000000" w:rsidRDefault="00000000" w:rsidRPr="00000000" w14:paraId="0000002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360" w:lineRule="auto"/>
        <w:rPr>
          <w:rFonts w:ascii="Calibri" w:cs="Calibri" w:eastAsia="Calibri" w:hAnsi="Calibri"/>
          <w:color w:val="000000"/>
          <w:sz w:val="32"/>
          <w:szCs w:val="32"/>
        </w:rPr>
      </w:pPr>
      <w:bookmarkStart w:colFirst="0" w:colLast="0" w:name="_heading=h.qj7wftsyi056" w:id="7"/>
      <w:bookmarkEnd w:id="7"/>
      <w:r w:rsidDel="00000000" w:rsidR="00000000" w:rsidRPr="00000000">
        <w:rPr>
          <w:rFonts w:ascii="Calibri" w:cs="Calibri" w:eastAsia="Calibri" w:hAnsi="Calibri"/>
          <w:color w:val="000000"/>
          <w:sz w:val="32"/>
          <w:szCs w:val="32"/>
          <w:rtl w:val="0"/>
        </w:rPr>
        <w:t xml:space="preserve">Estratègies i recomanacions sobre com es poden dissenyar estratègies d'aprenentatge i avaluació que generin evidències digitals per ajudar els estudiants a planificar el seu propi aprenentatge 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 del punt de vista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pedagògic: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Planificar i decidir amb antelació quines eines i activitats de Moodle són importants i s'han d'utilitzar al curs.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Explicar amb claredat els resultats i els objectius de l'aprenentatge.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Utilitzar preguntes freqüents per comprovar la comprensió durant la lliçó/curs.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Dissenyar activitats d'aprenentatge que fomentin la col·laboració i l'ús d'eines digitals.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Resumir els nous continguts d'aprenentatge que s'han d'adquirir, de manera gràfica (infografia, diagrames de Venn, mapes mentals, diagrames de flux).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Fomentar la participació dels estudiants presentant material d'aprenentatge en diferents formats (textual, vídeo, àudio) per reflectir els seus diferents estils d'aprenentatge.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Afavorir el retorn i el retorn entre els companys.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Fomentar la col·laboració dels estudiants i la cocreació d'elements educatius.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Ensenyar les estratègies que sustenten l'execució de les tasques i no només el contingut (fer connexions, autoverbalització, resolució de problemes).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Fomentar la metacognició (els estudiants han de pensar en l'efectivitat de les seves opcions d'aprenentatge i esbrinar com les poden millorar per aconseguir resultats més bons).</w:t>
      </w:r>
    </w:p>
    <w:p w:rsidR="00000000" w:rsidDel="00000000" w:rsidP="00000000" w:rsidRDefault="00000000" w:rsidRPr="00000000" w14:paraId="0000003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 del punt de vista tècnic: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Afegir una activitat de tasca (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tutorial sobre l'activitat de tasca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Afegir una activitat de retorn (es pot utilitzar com a eina d'avaluació acumulativa, retorn, selecció, etc.) (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tutorial sobre l'activitat de feedback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Afegir els resultats d'aprenentatge utilitzats en un curs (</w:t>
      </w:r>
      <w:hyperlink r:id="rId10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tutorial sobre com es poden afegir resultats d'aprenentatge)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Activar el fòrum de discussió (</w:t>
      </w:r>
      <w:hyperlink r:id="rId11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tutorial de l'activitat de fòrum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Activar el seguiment de compleció de l'activitat (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tutorial sobre la compleció de l'activitat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038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Vincular les activitats d'aprenentatge amb els resultats de l'aprenentatge (</w:t>
      </w:r>
      <w:hyperlink r:id="rId13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tutorial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039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Comprovar les oportunitats interactives de metacognició i reflexió que ofereix un EVA (per exemple, els portafolis dels estudiants).</w:t>
      </w:r>
    </w:p>
    <w:p w:rsidR="00000000" w:rsidDel="00000000" w:rsidP="00000000" w:rsidRDefault="00000000" w:rsidRPr="00000000" w14:paraId="0000003A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Comprovar les oportunitats que ofereixen els fòrums per aportar retorn.</w:t>
      </w:r>
    </w:p>
    <w:p w:rsidR="00000000" w:rsidDel="00000000" w:rsidP="00000000" w:rsidRDefault="00000000" w:rsidRPr="00000000" w14:paraId="0000003B">
      <w:pPr>
        <w:numPr>
          <w:ilvl w:val="1"/>
          <w:numId w:val="1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Comprovar les diferents solucions tècniques, així com les eines per cocrear (com ara els wikis) que ofereix un EVA.</w:t>
      </w:r>
    </w:p>
    <w:p w:rsidR="00000000" w:rsidDel="00000000" w:rsidP="00000000" w:rsidRDefault="00000000" w:rsidRPr="00000000" w14:paraId="0000003C">
      <w:pPr>
        <w:keepNext w:val="1"/>
        <w:keepLines w:val="1"/>
        <w:spacing w:after="240" w:before="240" w:line="360" w:lineRule="auto"/>
        <w:jc w:val="both"/>
        <w:rPr>
          <w:rFonts w:ascii="Calibri" w:cs="Calibri" w:eastAsia="Calibri" w:hAnsi="Calibri"/>
          <w:b w:val="1"/>
        </w:rPr>
      </w:pPr>
      <w:bookmarkStart w:colFirst="0" w:colLast="0" w:name="_heading=h.r7u8nafcelru" w:id="8"/>
      <w:bookmarkEnd w:id="8"/>
      <w:r w:rsidDel="00000000" w:rsidR="00000000" w:rsidRPr="00000000">
        <w:rPr>
          <w:rFonts w:ascii="Calibri" w:cs="Calibri" w:eastAsia="Calibri" w:hAnsi="Calibri"/>
          <w:rtl w:val="0"/>
        </w:rPr>
        <w:t xml:space="preserve">REFERÈNCIES BIBLIOGRÀFIQUES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Electronic CSI, A Guide for First Responders, 2a. edició, Institut Nacional de Justícia, abril de 2008. </w:t>
      </w:r>
      <w:hyperlink r:id="rId14">
        <w:r w:rsidDel="00000000" w:rsidR="00000000" w:rsidRPr="00000000">
          <w:rPr>
            <w:rFonts w:ascii="Calibri" w:cs="Calibri" w:eastAsia="Calibri" w:hAnsi="Calibri"/>
            <w:b w:val="1"/>
            <w:rtl w:val="0"/>
          </w:rPr>
          <w:t xml:space="preserve">https://nij.ojp.gov/digital-evidence-and-forensics</w:t>
        </w:r>
      </w:hyperlink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Emplit, P., Zhang, T. (2020).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Evidence-based approaches to learning and teaching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Learning and Teaching Paper #11, Thematic peer group report, EUA. Recuperat de: </w:t>
      </w:r>
      <w:hyperlink r:id="rId15">
        <w:r w:rsidDel="00000000" w:rsidR="00000000" w:rsidRPr="00000000">
          <w:rPr>
            <w:rFonts w:ascii="Calibri" w:cs="Calibri" w:eastAsia="Calibri" w:hAnsi="Calibri"/>
            <w:u w:val="single"/>
            <w:rtl w:val="0"/>
          </w:rPr>
          <w:t xml:space="preserve">https://eua.eu/downloads/publications/eua%20report%20evidence-based%20approaches_web.pdf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Griffith, R., Bauml, M., Quebec-Fuentes, S. (2016). Promoting metacognitive decision-making in teacher education.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Theory into Practice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55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(3), 242-249. DOI: </w:t>
      </w:r>
      <w:hyperlink r:id="rId16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https://doi.org/10.1080/00405841.2016.1173997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Gosselin, D. (2020). Competencies and learning outcomes. InTerGate. Recuperat de: </w:t>
      </w:r>
      <w:hyperlink r:id="rId17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https://serc.carleton.edu/integrate/programs/workforceprep/competencies_and_LO.html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43">
      <w:pPr>
        <w:spacing w:after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Medina, M. S., Castleberry, A. N., &amp; Persky, A. M. (2017). Strategies for improving learner metacognition in health professional education.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American Journal of Pharmaceutical Education, 81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(4), 1-14. DOI: </w:t>
      </w:r>
      <w:hyperlink r:id="rId18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https://doi.org/10.5688/ajpe81478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NSW Government and The Learning bar (2022). Teaching strategies. Recuperat de: </w:t>
      </w:r>
      <w:hyperlink r:id="rId19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https://education.nsw.gov.au/student-wellbeing/tell-them-from-me/accessing-and-using-tell-them-from-me-data/tell-them-from-me-measures/teaching-strategies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Maine, P. (N/D). Teaching and learning strategies: A classroom guide. Recuperat de: </w:t>
      </w:r>
      <w:hyperlink r:id="rId20">
        <w:r w:rsidDel="00000000" w:rsidR="00000000" w:rsidRPr="00000000">
          <w:rPr>
            <w:rFonts w:ascii="Calibri" w:cs="Calibri" w:eastAsia="Calibri" w:hAnsi="Calibri"/>
            <w:rtl w:val="0"/>
          </w:rPr>
          <w:t xml:space="preserve">https://www.structural-learning.com/post/teaching-and-learning-strategies-a-classroom-guide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Panadero, E. (2017). A review of self-regulated learning: Six models and four directions for research.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Frontiers in Psychology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8.</w:t>
      </w:r>
      <w:hyperlink r:id="rId21">
        <w:r w:rsidDel="00000000" w:rsidR="00000000" w:rsidRPr="00000000">
          <w:rPr>
            <w:rFonts w:ascii="Calibri" w:cs="Calibri" w:eastAsia="Calibri" w:hAnsi="Calibri"/>
            <w:rtl w:val="0"/>
          </w:rPr>
          <w:t xml:space="preserve"> DOI: https://doi.org/10.3389/fpsyg.2017.00422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Rourke, L., Anderson, T., Archer W., Garrison, D. R. (2001). Assessing social presence in asynchronous, text-based computer conferences.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Journal of Distance Education 14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51-70</w:t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Zimmerman, B. J. (2000). Attaining self-regulation: A social cognitive perspective. A: M. Boekaerts, P. R. Pintrich, M. Zeidner (eds.),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Handbook of self-regulation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(pàg. 13–39). Academic Press.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DOI: </w:t>
      </w:r>
      <w:hyperlink r:id="rId22">
        <w:r w:rsidDel="00000000" w:rsidR="00000000" w:rsidRPr="00000000">
          <w:rPr>
            <w:rFonts w:ascii="Calibri" w:cs="Calibri" w:eastAsia="Calibri" w:hAnsi="Calibri"/>
            <w:highlight w:val="white"/>
            <w:rtl w:val="0"/>
          </w:rPr>
          <w:t xml:space="preserve">https://doi.org/10.1016/B978-012109890-2/50031-7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Zimmerman, B. J., Moylan, A. R. (2009). Self-regulation: Where metacognition and motivation intersect. A: D. J. Hacker, J. Dunlosky, A. C. Graesser (ed.), </w:t>
      </w:r>
      <w:r w:rsidDel="00000000" w:rsidR="00000000" w:rsidRPr="00000000">
        <w:rPr>
          <w:rFonts w:ascii="Calibri" w:cs="Calibri" w:eastAsia="Calibri" w:hAnsi="Calibri"/>
          <w:i w:val="1"/>
          <w:highlight w:val="white"/>
          <w:rtl w:val="0"/>
        </w:rPr>
        <w:t xml:space="preserve">Handbook of metacognition in education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(pàg. 299-315). Routledge/Taylor &amp; Francis Group.</w:t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Volungeviciene, A., Tereseviciene, M., Trepule, E. (2021). Learning Analytics: a Metacognitive Tool to Engage Students. Research study. Sciendo.</w:t>
      </w:r>
      <w:hyperlink r:id="rId23">
        <w:r w:rsidDel="00000000" w:rsidR="00000000" w:rsidRPr="00000000">
          <w:rPr>
            <w:rFonts w:ascii="Calibri" w:cs="Calibri" w:eastAsia="Calibri" w:hAnsi="Calibri"/>
            <w:highlight w:val="white"/>
            <w:rtl w:val="0"/>
          </w:rPr>
          <w:t xml:space="preserve"> https://doi.org/10.2478/9788366675643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24" w:type="default"/>
      <w:footerReference r:id="rId25" w:type="default"/>
      <w:footerReference r:id="rId26" w:type="even"/>
      <w:pgSz w:h="15840" w:w="12240" w:orient="portrait"/>
      <w:pgMar w:bottom="1440" w:top="1440" w:left="144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rPr/>
    </w:pPr>
    <w:r w:rsidDel="00000000" w:rsidR="00000000" w:rsidRPr="00000000">
      <w:rPr>
        <w:rFonts w:ascii="Times" w:cs="Times" w:eastAsia="Times" w:hAnsi="Times"/>
        <w:color w:val="1d2125"/>
        <w:sz w:val="19"/>
        <w:szCs w:val="19"/>
        <w:highlight w:val="white"/>
      </w:rPr>
      <w:drawing>
        <wp:inline distB="114300" distT="114300" distL="114300" distR="114300">
          <wp:extent cx="1044677" cy="190500"/>
          <wp:effectExtent b="0" l="0" r="0" t="0"/>
          <wp:docPr id="5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4677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" w:cs="Times" w:eastAsia="Times" w:hAnsi="Times"/>
        <w:color w:val="1d2125"/>
        <w:sz w:val="19"/>
        <w:szCs w:val="19"/>
        <w:highlight w:val="white"/>
        <w:rtl w:val="0"/>
      </w:rPr>
      <w:t xml:space="preserve">Training material "Monitoring, supporting, and engaging students based on the evidence generated by digital technologies" by</w:t>
    </w:r>
    <w:hyperlink r:id="rId2">
      <w:r w:rsidDel="00000000" w:rsidR="00000000" w:rsidRPr="00000000">
        <w:rPr>
          <w:rFonts w:ascii="Times" w:cs="Times" w:eastAsia="Times" w:hAnsi="Times"/>
          <w:color w:val="1d2125"/>
          <w:sz w:val="19"/>
          <w:szCs w:val="19"/>
          <w:highlight w:val="white"/>
          <w:rtl w:val="0"/>
        </w:rPr>
        <w:t xml:space="preserve"> </w:t>
      </w:r>
    </w:hyperlink>
    <w:hyperlink r:id="rId3">
      <w:r w:rsidDel="00000000" w:rsidR="00000000" w:rsidRPr="00000000">
        <w:rPr>
          <w:rFonts w:ascii="Times" w:cs="Times" w:eastAsia="Times" w:hAnsi="Times"/>
          <w:color w:val="8b1a4a"/>
          <w:sz w:val="19"/>
          <w:szCs w:val="19"/>
          <w:highlight w:val="white"/>
          <w:u w:val="single"/>
          <w:rtl w:val="0"/>
        </w:rPr>
        <w:t xml:space="preserve">Maina, M.F., Guàrdia, L., Duart, J.M., Mancini, F., Malerba, M.L., Volungeviciene, A., Tamoliune, G.</w:t>
      </w:r>
    </w:hyperlink>
    <w:r w:rsidDel="00000000" w:rsidR="00000000" w:rsidRPr="00000000">
      <w:rPr>
        <w:rFonts w:ascii="Times" w:cs="Times" w:eastAsia="Times" w:hAnsi="Times"/>
        <w:color w:val="1d2125"/>
        <w:sz w:val="19"/>
        <w:szCs w:val="19"/>
        <w:highlight w:val="white"/>
        <w:rtl w:val="0"/>
      </w:rPr>
      <w:t xml:space="preserve"> is licensed under a</w:t>
    </w:r>
    <w:hyperlink r:id="rId4">
      <w:r w:rsidDel="00000000" w:rsidR="00000000" w:rsidRPr="00000000">
        <w:rPr>
          <w:rFonts w:ascii="Times" w:cs="Times" w:eastAsia="Times" w:hAnsi="Times"/>
          <w:color w:val="1d2125"/>
          <w:sz w:val="19"/>
          <w:szCs w:val="19"/>
          <w:highlight w:val="white"/>
          <w:rtl w:val="0"/>
        </w:rPr>
        <w:t xml:space="preserve"> </w:t>
      </w:r>
    </w:hyperlink>
    <w:hyperlink r:id="rId5">
      <w:r w:rsidDel="00000000" w:rsidR="00000000" w:rsidRPr="00000000">
        <w:rPr>
          <w:rFonts w:ascii="Times" w:cs="Times" w:eastAsia="Times" w:hAnsi="Times"/>
          <w:color w:val="8b1a4a"/>
          <w:sz w:val="19"/>
          <w:szCs w:val="19"/>
          <w:highlight w:val="white"/>
          <w:u w:val="single"/>
          <w:rtl w:val="0"/>
        </w:rPr>
        <w:t xml:space="preserve">Creative Commons Attribution-ShareAlike 4.0 International License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Times" w:cs="Times" w:eastAsia="Times" w:hAnsi="Times"/>
        <w:color w:val="000000"/>
      </w:rPr>
    </w:pPr>
    <w:r w:rsidDel="00000000" w:rsidR="00000000" w:rsidRPr="00000000">
      <w:rPr>
        <w:rFonts w:ascii="Times" w:cs="Times" w:eastAsia="Times" w:hAnsi="Times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ind w:left="3120" w:firstLine="0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Material de formació per al </w:t>
      <w:br w:type="textWrapping"/>
      <w:t xml:space="preserve">professorat de l'ESO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28584</wp:posOffset>
          </wp:positionV>
          <wp:extent cx="2033588" cy="430182"/>
          <wp:effectExtent b="0" l="0" r="0" t="0"/>
          <wp:wrapNone/>
          <wp:docPr id="5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7</wp:posOffset>
          </wp:positionH>
          <wp:positionV relativeFrom="paragraph">
            <wp:posOffset>28581</wp:posOffset>
          </wp:positionV>
          <wp:extent cx="1446609" cy="428625"/>
          <wp:effectExtent b="0" l="0" r="0" t="0"/>
          <wp:wrapNone/>
          <wp:docPr id="4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2">
    <w:pPr>
      <w:ind w:left="2880" w:firstLine="240"/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UOC_VMU</w:t>
    </w:r>
  </w:p>
  <w:p w:rsidR="00000000" w:rsidDel="00000000" w:rsidP="00000000" w:rsidRDefault="00000000" w:rsidRPr="00000000" w14:paraId="00000053">
    <w:pPr>
      <w:rPr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DB24DF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4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5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1E87"/>
  </w:style>
  <w:style w:type="paragraph" w:styleId="Footer">
    <w:name w:val="footer"/>
    <w:basedOn w:val="Normal"/>
    <w:link w:val="FooterChar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1E87"/>
  </w:style>
  <w:style w:type="paragraph" w:styleId="ListParagraph">
    <w:name w:val="List Paragraph"/>
    <w:basedOn w:val="Normal"/>
    <w:uiPriority w:val="34"/>
    <w:qFormat w:val="1"/>
    <w:rsid w:val="00420F85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420F85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420F85"/>
  </w:style>
  <w:style w:type="character" w:styleId="ref-lnk" w:customStyle="1">
    <w:name w:val="ref-lnk"/>
    <w:basedOn w:val="DefaultParagraphFont"/>
    <w:rsid w:val="00721C9E"/>
  </w:style>
  <w:style w:type="character" w:styleId="singlehighlightclass" w:customStyle="1">
    <w:name w:val="single_highlight_class"/>
    <w:basedOn w:val="DefaultParagraphFont"/>
    <w:rsid w:val="00721C9E"/>
  </w:style>
  <w:style w:type="character" w:styleId="searchnone" w:customStyle="1">
    <w:name w:val="searchnone"/>
    <w:basedOn w:val="DefaultParagraphFont"/>
    <w:rsid w:val="0039043D"/>
  </w:style>
  <w:style w:type="table" w:styleId="a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4649F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4649F"/>
    <w:rPr>
      <w:rFonts w:ascii="Segoe UI" w:cs="Segoe UI" w:hAnsi="Segoe UI"/>
      <w:sz w:val="18"/>
      <w:szCs w:val="18"/>
    </w:rPr>
  </w:style>
  <w:style w:type="paragraph" w:styleId="Revision">
    <w:name w:val="Revision"/>
    <w:hidden w:val="1"/>
    <w:uiPriority w:val="99"/>
    <w:semiHidden w:val="1"/>
    <w:rsid w:val="00730A0A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structural-learning.com/post/teaching-and-learning-strategies-a-classroom-guide" TargetMode="External"/><Relationship Id="rId22" Type="http://schemas.openxmlformats.org/officeDocument/2006/relationships/hyperlink" Target="https://psycnet.apa.org/doi/10.1016/B978-012109890-2/50031-7" TargetMode="External"/><Relationship Id="rId21" Type="http://schemas.openxmlformats.org/officeDocument/2006/relationships/hyperlink" Target="https://doi.org/10.3389/fpsyg.2017.00422" TargetMode="External"/><Relationship Id="rId24" Type="http://schemas.openxmlformats.org/officeDocument/2006/relationships/header" Target="header1.xml"/><Relationship Id="rId23" Type="http://schemas.openxmlformats.org/officeDocument/2006/relationships/hyperlink" Target="https://doi.org/10.2478/978836667564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moodle.org/400/en/Feedback_activity" TargetMode="External"/><Relationship Id="rId26" Type="http://schemas.openxmlformats.org/officeDocument/2006/relationships/footer" Target="footer1.xml"/><Relationship Id="rId25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hyperlink" Target="https://docs.moodle.org/400/en/Assignment_activity" TargetMode="External"/><Relationship Id="rId11" Type="http://schemas.openxmlformats.org/officeDocument/2006/relationships/hyperlink" Target="https://docs.moodle.org/400/en/Forum_activity" TargetMode="External"/><Relationship Id="rId10" Type="http://schemas.openxmlformats.org/officeDocument/2006/relationships/hyperlink" Target="https://docs.moodle.org/400/en/Outcomes" TargetMode="External"/><Relationship Id="rId13" Type="http://schemas.openxmlformats.org/officeDocument/2006/relationships/hyperlink" Target="https://www.youtube.com/watch?v=LCYbjmqyLbg" TargetMode="External"/><Relationship Id="rId12" Type="http://schemas.openxmlformats.org/officeDocument/2006/relationships/hyperlink" Target="https://docs.moodle.org/311/en/Tracking_progress%23Activity_completion" TargetMode="External"/><Relationship Id="rId15" Type="http://schemas.openxmlformats.org/officeDocument/2006/relationships/hyperlink" Target="https://eua.eu/downloads/publications/eua%20report%20evidence-based%20approaches_web.pdf" TargetMode="External"/><Relationship Id="rId14" Type="http://schemas.openxmlformats.org/officeDocument/2006/relationships/hyperlink" Target="https://nij.ojp.gov/digital-evidence-and-forensics" TargetMode="External"/><Relationship Id="rId17" Type="http://schemas.openxmlformats.org/officeDocument/2006/relationships/hyperlink" Target="https://serc.carleton.edu/integrate/programs/workforceprep/competencies_and_LO.html" TargetMode="External"/><Relationship Id="rId16" Type="http://schemas.openxmlformats.org/officeDocument/2006/relationships/hyperlink" Target="https://doi.org/10.1080/00405841.2016.1173997" TargetMode="External"/><Relationship Id="rId19" Type="http://schemas.openxmlformats.org/officeDocument/2006/relationships/hyperlink" Target="https://education.nsw.gov.au/student-wellbeing/tell-them-from-me/accessing-and-using-tell-them-from-me-data/tell-them-from-me-measures/teaching-strategies" TargetMode="External"/><Relationship Id="rId18" Type="http://schemas.openxmlformats.org/officeDocument/2006/relationships/hyperlink" Target="https://doi.org/10.5688/ajpe81478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teacamp.vdu.lt/course/view.php?id=91" TargetMode="External"/><Relationship Id="rId3" Type="http://schemas.openxmlformats.org/officeDocument/2006/relationships/hyperlink" Target="https://teacamp.vdu.lt/course/view.php?id=91" TargetMode="External"/><Relationship Id="rId4" Type="http://schemas.openxmlformats.org/officeDocument/2006/relationships/hyperlink" Target="http://creativecommons.org/licenses/by-sa/4.0/" TargetMode="External"/><Relationship Id="rId5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HnYxi9+Oc+mNvV+LoWFXSxerYw==">CgMxLjAyCGguZ2pkZ3hzMg5oLm00MXFsMHdncXVhaTIOaC5kY241eGpoZDdwZ2wyDmgueDd5OW1ocTR0OGFjMg5oLnkxYWZucWgxeGMyYzIJaC4zMGowemxsMg5oLno3Y3ppeWg0OGpwbTIOaC5xajd3ZnRzeWkwNTYyDmgucjd1OG5hZmNlbHJ1OAByITFnX2VJajZaMkV1Vm9mT0hZakVubklHZTdGNTlONWYxZA==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2023-01-30T09:59:00Z</dcterms:created>
</cp:coreProperties>
</file>