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00" w:lineRule="auto"/>
        <w:rPr>
          <w:rFonts w:ascii="Calibri" w:cs="Calibri" w:eastAsia="Calibri" w:hAnsi="Calibri"/>
          <w:b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Unitat 1. Dissenyar estratègies d'ensenyament i aprenentatge basades en l'evidència que fomentin l'autoregulació de l'aprenentatge en l'EVA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40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bookmarkStart w:colFirst="0" w:colLast="0" w:name="_heading=h.m41ql0wgquai" w:id="1"/>
      <w:bookmarkEnd w:id="1"/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</w:rPr>
        <w:drawing>
          <wp:inline distB="114300" distT="114300" distL="114300" distR="114300">
            <wp:extent cx="4776788" cy="3186967"/>
            <wp:effectExtent b="0" l="0" r="0" t="0"/>
            <wp:docPr id="5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6788" cy="31869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rPr>
          <w:rFonts w:ascii="Calibri" w:cs="Calibri" w:eastAsia="Calibri" w:hAnsi="Calibri"/>
          <w:color w:val="000000"/>
          <w:sz w:val="32"/>
          <w:szCs w:val="32"/>
        </w:rPr>
      </w:pPr>
      <w:bookmarkStart w:colFirst="0" w:colLast="0" w:name="_heading=h.dcn5xjhd7pgl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Introducció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Quan es dissenyen estratègies d'ensenyament i aprenentatge basades en l'evidència, és important no només parlar de quines dades es poden recollir, sinó també centrar-se en com es pot dissenyar l'ensenyament i l'aprenentatge d'una manera que doni suport a l'aprenentatge metacognitiu dels estudiants. Saber quines estratègies metacognitives donen suport a la implicació, el rendiment i l'autoregulació de l'aprenentatge de l'estudiant us pot ajudar a decidir quines eines utilitzareu per recollir evidència digital sobre el comportament dels estudiants.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bona analítica d'aprenentatge comença per pensar com es configuren les activitats i les eines, i com generaran proves i dades que podrien influir en l'ensenyament i l'aprenentatge. Aquesta fase de disseny de l'aprenentatge fa referència a les estratègies de planificació per a la recollida de dades, és a dir, quan els professors planifiquen i desenvolupen el currículum i el curs. A l'hora de dissenyar el curs, el professor ha de planificar prèviament les activitats, les tasques, les avaluacions, els recursos d'aprenentatge i les eines, els quals han de generar dades sobre el progrés dels estudiants i permetre augmentar la conscienciació del professorat i els alumnes sobre el procés i el progrés d'aprenentatge.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aquesta unitat us mostrarem com es poden dissenyar estratègies d'ensenyament i aprenentatge metacognitives (1.1.), com es poden configurar les activitats del curs per fer un seguiment de la implicació dels estudiants (1.2.) i, finalment, com es poden seleccionar i incorporar eines digitals que capturin dades sobre el progrés de l'estudiant (1.3.). </w:t>
      </w:r>
    </w:p>
    <w:p w:rsidR="00000000" w:rsidDel="00000000" w:rsidP="00000000" w:rsidRDefault="00000000" w:rsidRPr="00000000" w14:paraId="00000009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276" w:lineRule="auto"/>
        <w:jc w:val="both"/>
        <w:rPr>
          <w:rFonts w:ascii="Calibri" w:cs="Calibri" w:eastAsia="Calibri" w:hAnsi="Calibri"/>
          <w:color w:val="000000"/>
          <w:sz w:val="32"/>
          <w:szCs w:val="32"/>
        </w:rPr>
      </w:pPr>
      <w:bookmarkStart w:colFirst="0" w:colLast="0" w:name="_heading=h.x7y9mhq4t8ac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Temes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1.1. Com es poden dissenyar estratègies d'ensenyament i aprenentatge metacognitives?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1.2. Com es poden configurar les activitats del curs per fer un seguiment de la implicació dels estudiants?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1.3. Com es poden seleccionar i incorporar eines digitals que capturin dades sobre el progrés dels estudiants?</w:t>
      </w:r>
    </w:p>
    <w:p w:rsidR="00000000" w:rsidDel="00000000" w:rsidP="00000000" w:rsidRDefault="00000000" w:rsidRPr="00000000" w14:paraId="0000000D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276" w:lineRule="auto"/>
        <w:rPr>
          <w:rFonts w:ascii="Calibri" w:cs="Calibri" w:eastAsia="Calibri" w:hAnsi="Calibri"/>
          <w:color w:val="000000"/>
          <w:sz w:val="32"/>
          <w:szCs w:val="32"/>
        </w:rPr>
      </w:pPr>
      <w:bookmarkStart w:colFirst="0" w:colLast="0" w:name="_heading=h.y1afnqh1xc2c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Resultats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Dissenyar estratègies d'ensenyament i aprenentatge metacognitives que facilitin la implicació dels estudiants.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Seleccionar i configurar eines que donin suport a les activitats d'aprenentatge metacognitiu i generar dades sobre el disseny de l'aprenentatge o el progrés de l'aprenentatge.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425" w:hanging="360"/>
        <w:jc w:val="both"/>
        <w:rPr>
          <w:rFonts w:ascii="Calibri" w:cs="Calibri" w:eastAsia="Calibri" w:hAnsi="Calibri"/>
        </w:rPr>
      </w:pPr>
      <w:bookmarkStart w:colFirst="0" w:colLast="0" w:name="_heading=h.30j0zll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Utilitzar les tecnologies digitals per proporcionar als estudiants un retorn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específic i en el moment adequat.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42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Utilitzar tecnologies digitals (com ara blogs, diaris, eines de planificació) per permetre que els estudiants planifiquin el seu propi aprenentatge.</w:t>
      </w:r>
    </w:p>
    <w:p w:rsidR="00000000" w:rsidDel="00000000" w:rsidP="00000000" w:rsidRDefault="00000000" w:rsidRPr="00000000" w14:paraId="0000001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="276" w:lineRule="auto"/>
        <w:jc w:val="both"/>
        <w:rPr>
          <w:rFonts w:ascii="Calibri" w:cs="Calibri" w:eastAsia="Calibri" w:hAnsi="Calibri"/>
          <w:color w:val="000000"/>
          <w:sz w:val="32"/>
          <w:szCs w:val="32"/>
        </w:rPr>
      </w:pPr>
      <w:bookmarkStart w:colFirst="0" w:colLast="0" w:name="_heading=h.z7cziyh48jpm" w:id="6"/>
      <w:bookmarkEnd w:id="6"/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Definicions (glossari de Moodle)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Dades: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el context d'aquest marc de referència, les dades són la informació que recollim sobre els estudiants. Poden procedir de formularis, tests, la interacció dels alumnes amb recursos o activitats d'aprenentatge,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Alfabetització de dades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es tracta de la capacitat de trobar, avaluar i llegir dades de manera crítica, sovint més enllà de la seva forma numèrica i quantitativa. L'analítica d'aprenentatge (AA)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 centra en la recollida i la generació de dades dels alumnes per millorar les experiències d'ensenyament i aprenentatge. No obstant això, depèn de les habilitats d'alfabetització digital dels professors i els estudiants que les dades generades amb l'AA influeixin en l'ensenyament i l'aprenentatge.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Ensenyament i aprenentatge basats en l'evidència: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l'aprenentatge i l'ensenyament basats en l'evidència, tal com descriu l'informe de l'EUA, inclouen diversos passos: (1) determinació de la qüestió que es vol abordar, (2) recollida i anàlisi de l'evidència, (3) disseny, objectius i indicadors d'avaluació, (4) implementació i pràctica, (5) presa de decisions basades en l'evidència per millorar el procés (Emplit i Zhang,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Analítica d'aprenentatge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és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una eina d'avaluació, interpretació i anàlisi de dades generades per l'alumne en l'entorn d'aprenentatge en línia, per tal de fer que els processos d'aprenentatge i ensenyament siguin més eficients per part del professor, quant a les intervencions necessàries per assessorar o consultar els alumnes en el moment adequat per millorar el seu èxit acadèmic (Volungeviciene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., 2021, 12). Hi ha quatre categories principals de l'analítica de l'aprenentatge: (1) descriptiva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(què ha passat?); (2) predictiva (què passarà després?); (3) diagnòstica (per què va passar?); (4) prescriptiva (fes això per millorar).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Fonts w:ascii="Calibri" w:cs="Calibri" w:eastAsia="Calibri" w:hAnsi="Calibri"/>
          <w:b w:val="1"/>
          <w:color w:val="212121"/>
          <w:rtl w:val="0"/>
        </w:rPr>
        <w:t xml:space="preserve">Presa de decisions metacognitives</w:t>
      </w: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: es tracta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prendre consciència de les decisions específiques de disseny de l'ensenyament i l'aprenentatge i els motius d'aquestes decisions (Griffith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.,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Autoregulació de l'aprenentatge: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l'autoregulació de l'aprenentatge és un marc conceptual important que inclou diversos aspectes de l'aprenentatge: cognitiu, metacognitiu, conductual, motivacional i emocional (Panadero, 2017). Zimmerman (2000) va desenvolupar un model de fases cícliques de l'autoregulació de l'aprenentatge organitzat en tres fases: (1) previsió, (2) actuació i (3) autoreflexió. En una primera fase, els alumnes estableixen els seus objectius, activen estratègies d'aprenentatge i intenten assolir els seus objectius; en la fase d'actuació, executen la tasca, controlen el seu progrés i utilitzen estratègies per mantenir la implicació i la motivació. Finalment, en la fase d'autoreflexió, els alumnes avaluen la seva actuació, cosa que afectarà positivament o negativament el seu rendiment posterior (Zimmerman i Moylen, 2009; Baker, 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Competències: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és una afirmació general que descriu els coneixements, les habilitats i els comportaments que es vol que hagi aconseguit un estudiant que es gradua d'un programa (o completa un curs). Les competències solen definir les habilitats i els coneixements aplicats que permeten a les persones actuar amb èxit en contextos professionals, educatius i altres contextos de la vida (Gosselin, 2020).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Resultats d'aprenentatge: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és una afirmació específica que descriu exactament el que un estudiant serà capaç de fer d'alguna manera mesurable. Pot haver-hi més d'un resultat mesurable definit per a una competència determinada (Gosselin, 2020).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Presència social: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segons Rourke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(2001, pàg. 51), "la presència social és la capacitat dels estudiants de projectar les seves característiques personals a la comunitat d'investigació, i, per tant, de presentant-se com a 'persones reals'".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SRL: autoregulació de l’aprenentatge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self-regulated learning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AA: analítica d'aprenentatge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MOOC: curs en línia massiu obert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LAD: panell de control de l'analítica d'aprenentatge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analytics dashboard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EVA: entorn virtual d'aprenentatge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LMS: sistema de gestió de l'aprenentatge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learning management system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40" w:before="40"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Evidència digital: informació i dades de valor per a una investigació que s'emmagatzemen, es reben o es transmeten mitjançant un dispositiu electrònic (Electronic CSI, 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40" w:before="4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Metacognició: un component crític de l'aprenentatge d'èxit, que implica l'autoregulació i l'autoreflexió del procés d'aprenentatge i controla els processos de pensament (Medina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et 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., 2017).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40" w:before="4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Estratègies d'ensenyament i aprenentatge: tècniques i mètodes que aplica un professor per donar suport a l'aprenentatge dels estudiants. Les estratègies d'ensenyament efectives inclouen la planificació prèvia, l'esborrany dels objectius d'aprenentatge i els criteris per a l'èxit i l'aportació constant de retorn (Maine, N/A; Govern de NSW, 2022). </w:t>
      </w:r>
    </w:p>
    <w:p w:rsidR="00000000" w:rsidDel="00000000" w:rsidP="00000000" w:rsidRDefault="00000000" w:rsidRPr="00000000" w14:paraId="0000002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rPr>
          <w:rFonts w:ascii="Calibri" w:cs="Calibri" w:eastAsia="Calibri" w:hAnsi="Calibri"/>
          <w:color w:val="000000"/>
          <w:sz w:val="32"/>
          <w:szCs w:val="32"/>
        </w:rPr>
      </w:pPr>
      <w:bookmarkStart w:colFirst="0" w:colLast="0" w:name="_heading=h.qj7wftsyi056" w:id="7"/>
      <w:bookmarkEnd w:id="7"/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Estratègies i recomanacions sobre com es poden dissenyar estratègies d'aprenentatge i avaluació que generin evidències digitals per ajudar els estudiants a planificar el seu propi aprenentatge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 del punt de vista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pedagògic: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Planificar i decidir amb antelació quines eines i activitats de Moodle són importants i s'han d'utilitzar al curs.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Explicar amb claredat els resultats i els objectius de l'aprenentatge.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Utilitzar preguntes freqüents per comprovar la comprensió durant la lliçó/curs.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Dissenyar activitats d'aprenentatge que fomentin la col·laboració i l'ús d'eines digitals.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Resumir els nous continguts d'aprenentatge que s'han d'adquirir, de manera gràfica (infografia, diagrames de Venn, mapes mentals, diagrames de flux).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Fomentar la participació dels estudiants presentant material d'aprenentatge en diferents formats (textual, vídeo, àudio) per reflectir els seus diferents estils d'aprenentatge.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Afavorir el retorn i el retorn entre els companys.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Fomentar la col·laboració dels estudiants i la cocreació d'elements educatius.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Ensenyar les estratègies que sustenten l'execució de les tasques i no només el contingut (fer connexions, autoverbalització, resolució de problemes).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Fomentar la metacognició (els estudiants han de pensar en l'efectivitat de les seves opcions d'aprenentatge i esbrinar com les poden millorar per aconseguir resultats més bons).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 del punt de vista tècnic: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Afegir una activitat de tasca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tutorial sobre l'activitat de tasca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Afegir una activitat de retorn (es pot utilitzar com a eina d'avaluació acumulativa, retorn, selecció, etc.) 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tutorial sobre l'activitat de feedback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Afegir els resultats d'aprenentatge utilitzats en un curs (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tutorial sobre com es poden afegir resultats d'aprenentatge)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Activar el fòrum de discussió (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tutorial de l'activitat de fòrum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Activar el seguiment de compleció de l'activitat (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tutorial sobre la compleció de l'activitat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Vincular les activitats d'aprenentatge amb els resultats de l'aprenentatge (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tutorial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Comprovar les oportunitats interactives de metacognició i reflexió que ofereix un EVA (per exemple, els portafolis dels estudiants).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Comprovar les oportunitats que ofereixen els fòrums per aportar retorn.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Comprovar les diferents solucions tècniques, així com les eines per cocrear (com ara els wikis) que ofereix un EVA.</w:t>
      </w:r>
    </w:p>
    <w:p w:rsidR="00000000" w:rsidDel="00000000" w:rsidP="00000000" w:rsidRDefault="00000000" w:rsidRPr="00000000" w14:paraId="0000003C">
      <w:pPr>
        <w:keepNext w:val="1"/>
        <w:keepLines w:val="1"/>
        <w:spacing w:after="240" w:before="240" w:line="36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r7u8nafcelru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REFERÈNCIES BIBLIOGRÀFIQUES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Electronic CSI, A Guide for First Responders, 2a. edició, Institut Nacional de Justícia, abril de 2008.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rtl w:val="0"/>
          </w:rPr>
          <w:t xml:space="preserve">https://nij.ojp.gov/digital-evidence-and-forensics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Emplit, P., Zhang, T. (2020).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Evidence-based approaches to learning and teaching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Learning and Teaching Paper #11, Thematic peer group report, EUA. Recuperat de: </w:t>
      </w:r>
      <w:hyperlink r:id="rId15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https://eua.eu/downloads/publications/eua%20report%20evidence-based%20approaches_web.pdf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Griffith, R., Bauml, M., Quebec-Fuentes, S. (2016). Promoting metacognitive decision-making in teacher education.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Theory into Practice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(3), 242-249. DOI: 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https://doi.org/10.1080/00405841.2016.1173997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Gosselin, D. (2020). Competencies and learning outcomes. InTerGate. Recuperat de: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https://serc.carleton.edu/integrate/programs/workforceprep/competencies_and_LO.html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Medina, M. S., Castleberry, A. N., &amp; Persky, A. M. (2017). Strategies for improving learner metacognition in health professional education.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American Journal of Pharmaceutical Education, 81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(4), 1-14. DOI: </w:t>
      </w:r>
      <w:hyperlink r:id="rId18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https://doi.org/10.5688/ajpe81478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NSW Government and The Learning bar (2022). Teaching strategies. Recuperat de: </w:t>
      </w:r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https://education.nsw.gov.au/student-wellbeing/tell-them-from-me/accessing-and-using-tell-them-from-me-data/tell-them-from-me-measures/teaching-strategies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Maine, P. (N/D). Teaching and learning strategies: A classroom guide. Recuperat de: 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https://www.structural-learning.com/post/teaching-and-learning-strategies-a-classroom-guide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Panadero, E. (2017). A review of self-regulated learning: Six models and four directions for research.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Frontiers in Psychology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8.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DOI: https://doi.org/10.3389/fpsyg.2017.00422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Rourke, L., Anderson, T., Archer W., Garrison, D. R. (2001). Assessing social presence in asynchronous, text-based computer conferences.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Journal of Distance Education 14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51-70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Zimmerman, B. J. (2000). Attaining self-regulation: A social cognitive perspective. A: M. Boekaerts, P. R. Pintrich, M. Zeidner (eds.),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Handbook of self-regulation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(pàg. 13–39). Academic Press.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DOI: </w:t>
      </w:r>
      <w:hyperlink r:id="rId22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https://doi.org/10.1016/B978-012109890-2/50031-7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Zimmerman, B. J., Moylan, A. R. (2009). Self-regulation: Where metacognition and motivation intersect. A: D. J. Hacker, J. Dunlosky, A. C. Graesser (ed.),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Handbook of metacognition in education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(pàg. 299-315). Routledge/Taylor &amp; Francis Group.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Volungeviciene, A., Tereseviciene, M., Trepule, E. (2021). Learning Analytics: a Metacognitive Tool to Engage Students. Research study. Sciendo.</w:t>
      </w:r>
      <w:hyperlink r:id="rId23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 https://doi.org/10.2478/9788366675643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footerReference r:id="rId26" w:type="even"/>
      <w:pgSz w:h="15840" w:w="12240" w:orient="portrait"/>
      <w:pgMar w:bottom="1440" w:top="1440" w:left="144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</w:rPr>
      <w:drawing>
        <wp:inline distB="114300" distT="114300" distL="114300" distR="114300">
          <wp:extent cx="1044677" cy="190500"/>
          <wp:effectExtent b="0" l="0" r="0" t="0"/>
          <wp:docPr id="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677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3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" w:cs="Times" w:eastAsia="Times" w:hAnsi="Times"/>
        <w:color w:val="1d2125"/>
        <w:sz w:val="19"/>
        <w:szCs w:val="19"/>
        <w:highlight w:val="white"/>
        <w:rtl w:val="0"/>
      </w:rPr>
      <w:t xml:space="preserve"> is licensed under a</w:t>
    </w:r>
    <w:hyperlink r:id="rId4">
      <w:r w:rsidDel="00000000" w:rsidR="00000000" w:rsidRPr="00000000">
        <w:rPr>
          <w:rFonts w:ascii="Times" w:cs="Times" w:eastAsia="Times" w:hAnsi="Times"/>
          <w:color w:val="1d2125"/>
          <w:sz w:val="19"/>
          <w:szCs w:val="19"/>
          <w:highlight w:val="white"/>
          <w:rtl w:val="0"/>
        </w:rPr>
        <w:t xml:space="preserve"> </w:t>
      </w:r>
    </w:hyperlink>
    <w:hyperlink r:id="rId5">
      <w:r w:rsidDel="00000000" w:rsidR="00000000" w:rsidRPr="00000000">
        <w:rPr>
          <w:rFonts w:ascii="Times" w:cs="Times" w:eastAsia="Times" w:hAnsi="Times"/>
          <w:color w:val="8b1a4a"/>
          <w:sz w:val="19"/>
          <w:szCs w:val="19"/>
          <w:highlight w:val="white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ind w:left="3120" w:firstLine="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Material de formació per al </w:t>
      <w:br w:type="textWrapping"/>
      <w:t xml:space="preserve">professorat de l'ESO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28584</wp:posOffset>
          </wp:positionV>
          <wp:extent cx="2033588" cy="430182"/>
          <wp:effectExtent b="0" l="0" r="0" t="0"/>
          <wp:wrapNone/>
          <wp:docPr id="5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28581</wp:posOffset>
          </wp:positionV>
          <wp:extent cx="1446609" cy="428625"/>
          <wp:effectExtent b="0" l="0" r="0" t="0"/>
          <wp:wrapNone/>
          <wp:docPr id="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ind w:left="2880" w:firstLine="240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UOC_VMU</w:t>
    </w:r>
  </w:p>
  <w:p w:rsidR="00000000" w:rsidDel="00000000" w:rsidP="00000000" w:rsidRDefault="00000000" w:rsidRPr="00000000" w14:paraId="00000053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4649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4649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730A0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tructural-learning.com/post/teaching-and-learning-strategies-a-classroom-guide" TargetMode="External"/><Relationship Id="rId22" Type="http://schemas.openxmlformats.org/officeDocument/2006/relationships/hyperlink" Target="https://psycnet.apa.org/doi/10.1016/B978-012109890-2/50031-7" TargetMode="External"/><Relationship Id="rId21" Type="http://schemas.openxmlformats.org/officeDocument/2006/relationships/hyperlink" Target="https://doi.org/10.3389/fpsyg.2017.00422" TargetMode="External"/><Relationship Id="rId24" Type="http://schemas.openxmlformats.org/officeDocument/2006/relationships/header" Target="header1.xml"/><Relationship Id="rId23" Type="http://schemas.openxmlformats.org/officeDocument/2006/relationships/hyperlink" Target="https://doi.org/10.2478/978836667564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moodle.org/400/en/Feedback_activity" TargetMode="External"/><Relationship Id="rId26" Type="http://schemas.openxmlformats.org/officeDocument/2006/relationships/footer" Target="footer1.xml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docs.moodle.org/400/en/Assignment_activity" TargetMode="External"/><Relationship Id="rId11" Type="http://schemas.openxmlformats.org/officeDocument/2006/relationships/hyperlink" Target="https://docs.moodle.org/400/en/Forum_activity" TargetMode="External"/><Relationship Id="rId10" Type="http://schemas.openxmlformats.org/officeDocument/2006/relationships/hyperlink" Target="https://docs.moodle.org/400/en/Outcomes" TargetMode="External"/><Relationship Id="rId13" Type="http://schemas.openxmlformats.org/officeDocument/2006/relationships/hyperlink" Target="https://www.youtube.com/watch?v=LCYbjmqyLbg" TargetMode="External"/><Relationship Id="rId12" Type="http://schemas.openxmlformats.org/officeDocument/2006/relationships/hyperlink" Target="https://docs.moodle.org/311/en/Tracking_progress%23Activity_completion" TargetMode="External"/><Relationship Id="rId15" Type="http://schemas.openxmlformats.org/officeDocument/2006/relationships/hyperlink" Target="https://eua.eu/downloads/publications/eua%20report%20evidence-based%20approaches_web.pdf" TargetMode="External"/><Relationship Id="rId14" Type="http://schemas.openxmlformats.org/officeDocument/2006/relationships/hyperlink" Target="https://nij.ojp.gov/digital-evidence-and-forensics" TargetMode="External"/><Relationship Id="rId17" Type="http://schemas.openxmlformats.org/officeDocument/2006/relationships/hyperlink" Target="https://serc.carleton.edu/integrate/programs/workforceprep/competencies_and_LO.html" TargetMode="External"/><Relationship Id="rId16" Type="http://schemas.openxmlformats.org/officeDocument/2006/relationships/hyperlink" Target="https://doi.org/10.1080/00405841.2016.1173997" TargetMode="External"/><Relationship Id="rId19" Type="http://schemas.openxmlformats.org/officeDocument/2006/relationships/hyperlink" Target="https://education.nsw.gov.au/student-wellbeing/tell-them-from-me/accessing-and-using-tell-them-from-me-data/tell-them-from-me-measures/teaching-strategies" TargetMode="External"/><Relationship Id="rId18" Type="http://schemas.openxmlformats.org/officeDocument/2006/relationships/hyperlink" Target="https://doi.org/10.5688/ajpe8147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1" TargetMode="External"/><Relationship Id="rId3" Type="http://schemas.openxmlformats.org/officeDocument/2006/relationships/hyperlink" Target="https://teacamp.vdu.lt/course/view.php?id=91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nYxi9+Oc+mNvV+LoWFXSxerYw==">CgMxLjAyCGguZ2pkZ3hzMg5oLm00MXFsMHdncXVhaTIOaC5kY241eGpoZDdwZ2wyDmgueDd5OW1ocTR0OGFjMg5oLnkxYWZucWgxeGMyYzIJaC4zMGowemxsMg5oLno3Y3ppeWg0OGpwbTIOaC5xajd3ZnRzeWkwNTYyDmgucjd1OG5hZmNlbHJ1OAByITFnX2VJajZaMkV1Vm9mT0hZakVubklHZTdGNTlONWYxZA==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2023-01-30T09:59:00Z</dcterms:created>
</cp:coreProperties>
</file>