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400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Unitat 1. Dissenyar estratègies d'ensenyament i aprenentatge basades en l'evidència que fomentin l'autoregulació de l'aprenentatge en l'EVA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40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m41ql0wgquai" w:id="1"/>
      <w:bookmarkEnd w:id="1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</w:rPr>
        <w:drawing>
          <wp:inline distB="114300" distT="114300" distL="114300" distR="114300">
            <wp:extent cx="4776788" cy="3186967"/>
            <wp:effectExtent b="0" l="0" r="0" t="0"/>
            <wp:docPr id="5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31869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rPr>
          <w:rFonts w:ascii="Calibri" w:cs="Calibri" w:eastAsia="Calibri" w:hAnsi="Calibri"/>
          <w:color w:val="000000"/>
          <w:sz w:val="32"/>
          <w:szCs w:val="32"/>
        </w:rPr>
      </w:pPr>
      <w:bookmarkStart w:colFirst="0" w:colLast="0" w:name="_heading=h.dcn5xjhd7pgl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Introducció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 es dissenyen estratègies d'ensenyament i aprenentatge basades en l'evidència, és important no només parlar de quines dades es poden recollir, sinó també centrar-se en com es pot dissenyar l'ensenyament i l'aprenentatge d'una manera que doni suport a l'aprenentatge metacognitiu dels estudiants. Saber quines estratègies metacognitives donen suport a la implicació, el rendiment i l'autoregulació de l'aprenentatge de l'estudiant us pot ajudar a decidir quines eines utilitzareu per recollir evidència digital sobre el comportament dels estudiants.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bona analítica d'aprenentatge comença per pensar com es configuren les activitats i les eines, i com generaran proves i dades que podrien influir en l'ensenyament i l'aprenentatge. Aquesta fase de disseny de l'aprenentatge fa referència a les estratègies de planificació per a la recollida de dades, és a dir, quan els professors planifiquen i desenvolupen el currículum i el curs. A l'hora de dissenyar el curs, el professor ha de planificar prèviament les activitats, les tasques, les avaluacions, els recursos d'aprenentatge i les eines, els quals han de generar dades sobre el progrés dels estudiants i permetre augmentar la conscienciació del professorat i els alumnes sobre el procés i el progrés d'aprenentatge.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aquesta unitat us mostrarem com es poden dissenyar estratègies d'ensenyament i aprenentatge metacognitives (1.1.), com es poden configurar les activitats del curs per fer un seguiment de la implicació dels estudiants (1.2.) i, finalment, com es poden seleccionar i incorporar eines digitals que capturin dades sobre el progrés de l'estudiant (1.3.). 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="276" w:lineRule="auto"/>
        <w:jc w:val="both"/>
        <w:rPr>
          <w:rFonts w:ascii="Calibri" w:cs="Calibri" w:eastAsia="Calibri" w:hAnsi="Calibri"/>
          <w:color w:val="000000"/>
          <w:sz w:val="32"/>
          <w:szCs w:val="32"/>
        </w:rPr>
      </w:pPr>
      <w:bookmarkStart w:colFirst="0" w:colLast="0" w:name="_heading=h.x7y9mhq4t8ac" w:id="3"/>
      <w:bookmarkEnd w:id="3"/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Temes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1.1. Com es poden dissenyar estratègies d'ensenyament i aprenentatge metacognitives?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1.2. Com es poden configurar les activitats del curs per fer un seguiment de la implicació dels estudiants?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1.3. Com es poden seleccionar i incorporar eines digitals que capturin dades sobre el progrés dels estudiants?</w:t>
      </w:r>
    </w:p>
    <w:p w:rsidR="00000000" w:rsidDel="00000000" w:rsidP="00000000" w:rsidRDefault="00000000" w:rsidRPr="00000000" w14:paraId="0000000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="276" w:lineRule="auto"/>
        <w:rPr>
          <w:rFonts w:ascii="Calibri" w:cs="Calibri" w:eastAsia="Calibri" w:hAnsi="Calibri"/>
          <w:color w:val="000000"/>
          <w:sz w:val="32"/>
          <w:szCs w:val="32"/>
        </w:rPr>
      </w:pPr>
      <w:bookmarkStart w:colFirst="0" w:colLast="0" w:name="_heading=h.y1afnqh1xc2c" w:id="4"/>
      <w:bookmarkEnd w:id="4"/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Resultats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Dissenyar estratègies d'ensenyament i aprenentatge metacognitives que facilitin la implicació dels estudiants.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Seleccionar i configurar eines que donin suport a les activitats d'aprenentatge metacognitiu i generar dades sobre el disseny de l'aprenentatge o el progrés de l'aprenentatge.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bookmarkStart w:colFirst="0" w:colLast="0" w:name="_heading=h.30j0zll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Utilitzar les tecnologies digitals per proporcionar als estudiants un retorn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específic i en el moment adequat.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Utilitzar tecnologies digitals (com ara blogs, diaris, eines de planificació) per permetre que els estudiants planifiquin el seu propi aprenentatge.</w:t>
      </w:r>
    </w:p>
    <w:p w:rsidR="00000000" w:rsidDel="00000000" w:rsidP="00000000" w:rsidRDefault="00000000" w:rsidRPr="00000000" w14:paraId="0000001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="276" w:lineRule="auto"/>
        <w:jc w:val="both"/>
        <w:rPr>
          <w:rFonts w:ascii="Calibri" w:cs="Calibri" w:eastAsia="Calibri" w:hAnsi="Calibri"/>
          <w:color w:val="000000"/>
          <w:sz w:val="32"/>
          <w:szCs w:val="32"/>
        </w:rPr>
      </w:pPr>
      <w:bookmarkStart w:colFirst="0" w:colLast="0" w:name="_heading=h.z7cziyh48jpm" w:id="6"/>
      <w:bookmarkEnd w:id="6"/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Definicions (glossari de Moodle)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el context d'aquest marc de referència, les dades són la informació que recollim sobre els estudiants. Poden procedir de formularis, tests, la interacció dels alumnes amb recursos o activitats d'aprenentatge,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Alfabetització de dades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es tracta de la capacitat de trobar, avaluar i llegir dades de manera crítica, sovint més enllà de la seva forma numèrica i quantitativa. L'analítica d'aprenentatge (AA)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 centra en la recollida i la generació de dades dels alumnes per millorar les experiències d'ensenyament i aprenentatge. No obstant això, depèn de les habilitats d'alfabetització digital dels professors i els estudiants que les dades generades amb l'AA influeixin en l'ensenyament i l'aprenentatge.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Ensenyament i aprenentatge basats en l'evidència: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l'aprenentatge i l'ensenyament basats en l'evidència, tal com descriu l'informe de l'EUA, inclouen diversos passos: (1) determinació de la qüestió que es vol abordar, (2) recollida i anàlisi de l'evidència, (3) disseny, objectius i indicadors d'avaluació, (4) implementació i pràctica, (5) presa de decisions basades en l'evidència per millorar el procés (Emplit i Zhang, 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Analítica d'aprenentatge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és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una eina d'avaluació, interpretació i anàlisi de dades generades per l'alumne en l'entorn d'aprenentatge en línia, per tal de fer que els processos d'aprenentatge i ensenyament siguin més eficients per part del professor, quant a les intervencions necessàries per assessorar o consultar els alumnes en el moment adequat per millorar el seu èxit acadèmic (Volungeviciene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 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., 2021, 12). Hi ha quatre categories principals de l'analítica de l'aprenentatge: (1) descriptiva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(què ha passat?); (2) predictiva (què passarà després?); (3) diagnòstica (per què va passar?); (4) prescriptiva (fes això per millorar).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Presa de decisions metacognitives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: es tracta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prendre consciència de les decisions específiques de disseny de l'ensenyament i l'aprenentatge i els motius d'aquestes decisions (Griffith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 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Autoregulació de l'aprenentatge: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l'autoregulació de l'aprenentatge és un marc conceptual important que inclou diversos aspectes de l'aprenentatge: cognitiu, metacognitiu, conductual, motivacional i emocional (Panadero, 2017). Zimmerman (2000) va desenvolupar un model de fases cícliques de l'autoregulació de l'aprenentatge organitzat en tres fases: (1) previsió, (2) actuació i (3) autoreflexió. En una primera fase, els alumnes estableixen els seus objectius, activen estratègies d'aprenentatge i intenten assolir els seus objectius; en la fase d'actuació, executen la tasca, controlen el seu progrés i utilitzen estratègies per mantenir la implicació i la motivació. Finalment, en la fase d'autoreflexió, els alumnes avaluen la seva actuació, cosa que afectarà positivament o negativament el seu rendiment posterior (Zimmerman i Moylen, 2009; Baker, 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Competències: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és una afirmació general que descriu els coneixements, les habilitats i els comportaments que es vol que hagi aconseguit un estudiant que es gradua d'un programa (o completa un curs). Les competències solen definir les habilitats i els coneixements aplicats que permeten a les persones actuar amb èxit en contextos professionals, educatius i altres contextos de la vida (Gosselin, 2020).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Resultats d'aprenentatge: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és una afirmació específica que descriu exactament el que un estudiant serà capaç de fer d'alguna manera mesurable. Pot haver-hi més d'un resultat mesurable definit per a una competència determinada (Gosselin, 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Presència social: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segons Rourke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 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(2001, pàg. 51), "la presència social és la capacitat dels estudiants de projectar les seves característiques personals a la comunitat d'investigació, i, per tant, de presentant-se com a 'persones reals'".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SRL: autoregulació de l’aprenentatge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self-regulated learning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AA: analítica d'aprenentatge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MOOC: curs en línia massiu obert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LAD: panell de control de l'analítica d'aprenentatge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learning analytics dashboard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EVA: entorn virtual d'aprenentatge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LMS: sistema de gestió de l'aprenentatge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learning management system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40" w:before="4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Evidència digital: informació i dades de valor per a una investigació que s'emmagatzemen, es reben o es transmeten mitjançant un dispositiu electrònic (Electronic CSI, 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40" w:before="4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Metacognició: un component crític de l'aprenentatge d'èxit, que implica l'autoregulació i l'autoreflexió del procés d'aprenentatge i controla els processos de pensament (Medina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 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., 2017).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40" w:before="4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Estratègies d'ensenyament i aprenentatge: tècniques i mètodes que aplica un professor per donar suport a l'aprenentatge dels estudiants. Les estratègies d'ensenyament efectives inclouen la planificació prèvia, l'esborrany dels objectius d'aprenentatge i els criteris per a l'èxit i l'aportació constant de retorn (Maine, N/A; Govern de NSW, 2022). </w:t>
      </w:r>
    </w:p>
    <w:p w:rsidR="00000000" w:rsidDel="00000000" w:rsidP="00000000" w:rsidRDefault="00000000" w:rsidRPr="00000000" w14:paraId="0000002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rPr>
          <w:rFonts w:ascii="Calibri" w:cs="Calibri" w:eastAsia="Calibri" w:hAnsi="Calibri"/>
          <w:color w:val="000000"/>
          <w:sz w:val="32"/>
          <w:szCs w:val="32"/>
        </w:rPr>
      </w:pPr>
      <w:bookmarkStart w:colFirst="0" w:colLast="0" w:name="_heading=h.qj7wftsyi056" w:id="7"/>
      <w:bookmarkEnd w:id="7"/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Estratègies i recomanacions sobre com es poden dissenyar estratègies d'aprenentatge i avaluació que generin evidències digitals per ajudar els estudiants a planificar el seu propi aprenentatge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 del punt de vista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pedagògic: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Planificar i decidir amb antelació quines eines i activitats de Moodle són importants i s'han d'utilitzar al curs.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Explicar amb claredat els resultats i els objectius de l'aprenentatge.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Utilitzar preguntes freqüents per comprovar la comprensió durant la lliçó/curs.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Dissenyar activitats d'aprenentatge que fomentin la col·laboració i l'ús d'eines digitals.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Resumir els nous continguts d'aprenentatge que s'han d'adquirir, de manera gràfica (infografia, diagrames de Venn, mapes mentals, diagrames de flux).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Fomentar la participació dels estudiants presentant material d'aprenentatge en diferents formats (textual, vídeo, àudio) per reflectir els seus diferents estils d'aprenentatge.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Afavorir el retorn i el retorn entre els companys.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Fomentar la col·laboració dels estudiants i la cocreació d'elements educatius.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Ensenyar les estratègies que sustenten l'execució de les tasques i no només el contingut (fer connexions, autoverbalització, resolució de problemes).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Fomentar la metacognició (els estudiants han de pensar en l'efectivitat de les seves opcions d'aprenentatge i esbrinar com les poden millorar per aconseguir resultats més bons).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 del punt de vista tècnic: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Afegir una activitat de tasca (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tutorial sobre l'activitat de tasca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Afegir una activitat de retorn (es pot utilitzar com a eina d'avaluació acumulativa, retorn, selecció, etc.)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tutorial sobre l'activitat de feedback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Afegir els resultats d'aprenentatge utilitzats en un curs (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tutorial sobre com es poden afegir resultats d'aprenentatge)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Activar el fòrum de discussió (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tutorial de l'activitat de fòrum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Activar el seguiment de compleció de l'activitat (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tutorial sobre la compleció de l'activitat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Vincular les activitats d'aprenentatge amb els resultats de l'aprenentatge (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tutorial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Comprovar les oportunitats interactives de metacognició i reflexió que ofereix un EVA (per exemple, els portafolis dels estudiants).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Comprovar les oportunitats que ofereixen els fòrums per aportar retorn.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Comprovar les diferents solucions tècniques, així com les eines per cocrear (com ara els wikis) que ofereix un EVA.</w:t>
      </w:r>
    </w:p>
    <w:p w:rsidR="00000000" w:rsidDel="00000000" w:rsidP="00000000" w:rsidRDefault="00000000" w:rsidRPr="00000000" w14:paraId="0000003C">
      <w:pPr>
        <w:keepNext w:val="1"/>
        <w:keepLines w:val="1"/>
        <w:spacing w:after="240" w:before="240" w:line="36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r7u8nafcelru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REFERÈNCIES BIBLIOGRÀFIQUES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Electronic CSI, A Guide for First Responders, 2a. edició, Institut Nacional de Justícia, abril de 2008.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https://nij.ojp.gov/digital-evidence-and-forensics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Emplit, P., Zhang, T. (2020).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Evidence-based approaches to learning and teaching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Learning and Teaching Paper #11, Thematic peer group report, EUA. Recuperat de: </w:t>
      </w:r>
      <w:hyperlink r:id="rId15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https://eua.eu/downloads/publications/eua%20report%20evidence-based%20approaches_web.pdf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Griffith, R., Bauml, M., Quebec-Fuentes, S. (2016). Promoting metacognitive decision-making in teacher education.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Theory into Practice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(3), 242-249. DOI: 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https://doi.org/10.1080/00405841.2016.1173997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Gosselin, D. (2020). Competencies and learning outcomes. InTerGate. Recuperat de: </w:t>
      </w: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https://serc.carleton.edu/integrate/programs/workforceprep/competencies_and_LO.html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Medina, M. S., Castleberry, A. N., &amp; Persky, A. M. (2017). Strategies for improving learner metacognition in health professional education.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American Journal of Pharmaceutical Education, 81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(4), 1-14. DOI: </w:t>
      </w:r>
      <w:hyperlink r:id="rId18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https://doi.org/10.5688/ajpe81478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NSW Government and The Learning bar (2022). Teaching strategies. Recuperat de: </w:t>
      </w:r>
      <w:hyperlink r:id="rId19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https://education.nsw.gov.au/student-wellbeing/tell-them-from-me/accessing-and-using-tell-them-from-me-data/tell-them-from-me-measures/teaching-strategies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Maine, P. (N/D). Teaching and learning strategies: A classroom guide. Recuperat de: </w:t>
      </w:r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https://www.structural-learning.com/post/teaching-and-learning-strategies-a-classroom-guide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Panadero, E. (2017). A review of self-regulated learning: Six models and four directions for research.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Frontiers in Psychology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8.</w:t>
      </w:r>
      <w:hyperlink r:id="rId21">
        <w:r w:rsidDel="00000000" w:rsidR="00000000" w:rsidRPr="00000000">
          <w:rPr>
            <w:rFonts w:ascii="Calibri" w:cs="Calibri" w:eastAsia="Calibri" w:hAnsi="Calibri"/>
            <w:rtl w:val="0"/>
          </w:rPr>
          <w:t xml:space="preserve"> DOI: https://doi.org/10.3389/fpsyg.2017.00422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Rourke, L., Anderson, T., Archer W., Garrison, D. R. (2001). Assessing social presence in asynchronous, text-based computer conferences.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Journal of Distance Education 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51-70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Zimmerman, B. J. (2000). Attaining self-regulation: A social cognitive perspective. A: M. Boekaerts, P. R. Pintrich, M. Zeidner (eds.),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Handbook of self-regulation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(pàg. 13–39). Academic Press.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DOI: </w:t>
      </w:r>
      <w:hyperlink r:id="rId22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https://doi.org/10.1016/B978-012109890-2/50031-7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Zimmerman, B. J., Moylan, A. R. (2009). Self-regulation: Where metacognition and motivation intersect. A: D. J. Hacker, J. Dunlosky, A. C. Graesser (ed.),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Handbook of metacognition in education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(pàg. 299-315). Routledge/Taylor &amp; Francis Group.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Volungeviciene, A., Tereseviciene, M., Trepule, E. (2021). Learning Analytics: a Metacognitive Tool to Engage Students. Research study. Sciendo.</w:t>
      </w:r>
      <w:hyperlink r:id="rId23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 https://doi.org/10.2478/9788366675643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footerReference r:id="rId26" w:type="even"/>
      <w:pgSz w:h="15840" w:w="12240" w:orient="portrait"/>
      <w:pgMar w:bottom="1440" w:top="1440" w:left="144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</w:rPr>
      <w:drawing>
        <wp:inline distB="114300" distT="114300" distL="114300" distR="114300">
          <wp:extent cx="1044677" cy="190500"/>
          <wp:effectExtent b="0" l="0" r="0" t="0"/>
          <wp:docPr id="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677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3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 is licensed under a</w:t>
    </w:r>
    <w:hyperlink r:id="rId4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5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Creative Commons Attribution-ShareAlike 4.0 International 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3120" w:firstLine="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Material de formació per al </w:t>
      <w:br w:type="textWrapping"/>
      <w:t xml:space="preserve">professorat de l'ESO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28584</wp:posOffset>
          </wp:positionV>
          <wp:extent cx="2033588" cy="430182"/>
          <wp:effectExtent b="0" l="0" r="0" t="0"/>
          <wp:wrapNone/>
          <wp:docPr id="5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28581</wp:posOffset>
          </wp:positionV>
          <wp:extent cx="1446609" cy="428625"/>
          <wp:effectExtent b="0" l="0" r="0" t="0"/>
          <wp:wrapNone/>
          <wp:docPr id="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ind w:left="2880" w:firstLine="24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UOC_VMU</w:t>
    </w:r>
  </w:p>
  <w:p w:rsidR="00000000" w:rsidDel="00000000" w:rsidP="00000000" w:rsidRDefault="00000000" w:rsidRPr="00000000" w14:paraId="00000053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20F85"/>
  </w:style>
  <w:style w:type="character" w:styleId="ref-lnk" w:customStyle="1">
    <w:name w:val="ref-lnk"/>
    <w:basedOn w:val="DefaultParagraphFont"/>
    <w:rsid w:val="00721C9E"/>
  </w:style>
  <w:style w:type="character" w:styleId="singlehighlightclass" w:customStyle="1">
    <w:name w:val="single_highlight_class"/>
    <w:basedOn w:val="DefaultParagraphFont"/>
    <w:rsid w:val="00721C9E"/>
  </w:style>
  <w:style w:type="character" w:styleId="searchnone" w:customStyle="1">
    <w:name w:val="searchnone"/>
    <w:basedOn w:val="DefaultParagraphFont"/>
    <w:rsid w:val="0039043D"/>
  </w:style>
  <w:style w:type="table" w:styleId="a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649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649F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730A0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tructural-learning.com/post/teaching-and-learning-strategies-a-classroom-guide" TargetMode="External"/><Relationship Id="rId22" Type="http://schemas.openxmlformats.org/officeDocument/2006/relationships/hyperlink" Target="https://psycnet.apa.org/doi/10.1016/B978-012109890-2/50031-7" TargetMode="External"/><Relationship Id="rId21" Type="http://schemas.openxmlformats.org/officeDocument/2006/relationships/hyperlink" Target="https://doi.org/10.3389/fpsyg.2017.00422" TargetMode="External"/><Relationship Id="rId24" Type="http://schemas.openxmlformats.org/officeDocument/2006/relationships/header" Target="header1.xml"/><Relationship Id="rId23" Type="http://schemas.openxmlformats.org/officeDocument/2006/relationships/hyperlink" Target="https://doi.org/10.2478/978836667564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moodle.org/400/en/Feedback_activity" TargetMode="External"/><Relationship Id="rId26" Type="http://schemas.openxmlformats.org/officeDocument/2006/relationships/footer" Target="footer1.xml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hyperlink" Target="https://docs.moodle.org/400/en/Assignment_activity" TargetMode="External"/><Relationship Id="rId11" Type="http://schemas.openxmlformats.org/officeDocument/2006/relationships/hyperlink" Target="https://docs.moodle.org/400/en/Forum_activity" TargetMode="External"/><Relationship Id="rId10" Type="http://schemas.openxmlformats.org/officeDocument/2006/relationships/hyperlink" Target="https://docs.moodle.org/400/en/Outcomes" TargetMode="External"/><Relationship Id="rId13" Type="http://schemas.openxmlformats.org/officeDocument/2006/relationships/hyperlink" Target="https://www.youtube.com/watch?v=LCYbjmqyLbg" TargetMode="External"/><Relationship Id="rId12" Type="http://schemas.openxmlformats.org/officeDocument/2006/relationships/hyperlink" Target="https://docs.moodle.org/311/en/Tracking_progress%23Activity_completion" TargetMode="External"/><Relationship Id="rId15" Type="http://schemas.openxmlformats.org/officeDocument/2006/relationships/hyperlink" Target="https://eua.eu/downloads/publications/eua%20report%20evidence-based%20approaches_web.pdf" TargetMode="External"/><Relationship Id="rId14" Type="http://schemas.openxmlformats.org/officeDocument/2006/relationships/hyperlink" Target="https://nij.ojp.gov/digital-evidence-and-forensics" TargetMode="External"/><Relationship Id="rId17" Type="http://schemas.openxmlformats.org/officeDocument/2006/relationships/hyperlink" Target="https://serc.carleton.edu/integrate/programs/workforceprep/competencies_and_LO.html" TargetMode="External"/><Relationship Id="rId16" Type="http://schemas.openxmlformats.org/officeDocument/2006/relationships/hyperlink" Target="https://doi.org/10.1080/00405841.2016.1173997" TargetMode="External"/><Relationship Id="rId19" Type="http://schemas.openxmlformats.org/officeDocument/2006/relationships/hyperlink" Target="https://education.nsw.gov.au/student-wellbeing/tell-them-from-me/accessing-and-using-tell-them-from-me-data/tell-them-from-me-measures/teaching-strategies" TargetMode="External"/><Relationship Id="rId18" Type="http://schemas.openxmlformats.org/officeDocument/2006/relationships/hyperlink" Target="https://doi.org/10.5688/ajpe8147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91" TargetMode="External"/><Relationship Id="rId3" Type="http://schemas.openxmlformats.org/officeDocument/2006/relationships/hyperlink" Target="https://teacamp.vdu.lt/course/view.php?id=91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HnYxi9+Oc+mNvV+LoWFXSxerYw==">CgMxLjAyCGguZ2pkZ3hzMg5oLm00MXFsMHdncXVhaTIOaC5kY241eGpoZDdwZ2wyDmgueDd5OW1ocTR0OGFjMg5oLnkxYWZucWgxeGMyYzIJaC4zMGowemxsMg5oLno3Y3ppeWg0OGpwbTIOaC5xajd3ZnRzeWkwNTYyDmgucjd1OG5hZmNlbHJ1OAByITFnX2VJajZaMkV1Vm9mT0hZakVubklHZTdGNTlONWYxZA==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2023-01-30T09:59:00Z</dcterms:created>
</cp:coreProperties>
</file>