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pBdr>
          <w:top w:space="0" w:sz="0" w:val="nil"/>
          <w:left w:space="0" w:sz="0" w:val="nil"/>
          <w:bottom w:space="0" w:sz="0" w:val="nil"/>
          <w:right w:space="0" w:sz="0" w:val="nil"/>
          <w:between w:space="0" w:sz="0" w:val="nil"/>
        </w:pBdr>
        <w:spacing w:after="240" w:before="240" w:line="276" w:lineRule="auto"/>
        <w:rPr>
          <w:rFonts w:ascii="Calibri" w:cs="Calibri" w:eastAsia="Calibri" w:hAnsi="Calibri"/>
          <w:b w:val="1"/>
          <w:color w:val="000000"/>
          <w:sz w:val="30"/>
          <w:szCs w:val="30"/>
        </w:rPr>
      </w:pPr>
      <w:bookmarkStart w:colFirst="0" w:colLast="0" w:name="_heading=h.it0u85nt9ojh" w:id="0"/>
      <w:bookmarkEnd w:id="0"/>
      <w:r w:rsidDel="00000000" w:rsidR="00000000" w:rsidRPr="00000000">
        <w:rPr>
          <w:rFonts w:ascii="Calibri" w:cs="Calibri" w:eastAsia="Calibri" w:hAnsi="Calibri"/>
          <w:b w:val="1"/>
          <w:sz w:val="30"/>
          <w:szCs w:val="30"/>
          <w:rtl w:val="0"/>
        </w:rPr>
        <w:t xml:space="preserve">Unit 2.</w:t>
      </w:r>
      <w:r w:rsidDel="00000000" w:rsidR="00000000" w:rsidRPr="00000000">
        <w:rPr>
          <w:color w:val="000000"/>
          <w:sz w:val="14"/>
          <w:szCs w:val="14"/>
          <w:rtl w:val="0"/>
        </w:rPr>
        <w:t xml:space="preserve"> </w:t>
      </w:r>
      <w:r w:rsidDel="00000000" w:rsidR="00000000" w:rsidRPr="00000000">
        <w:rPr>
          <w:rFonts w:ascii="Calibri" w:cs="Calibri" w:eastAsia="Calibri" w:hAnsi="Calibri"/>
          <w:b w:val="1"/>
          <w:color w:val="000000"/>
          <w:sz w:val="30"/>
          <w:szCs w:val="30"/>
          <w:rtl w:val="0"/>
        </w:rPr>
        <w:t xml:space="preserve">Analysing and interpreting evidence-based data to inform teaching and learning (MONITORING / PERFORMANCE / TEACHING AND LEARNING PHASE)</w:t>
      </w:r>
    </w:p>
    <w:p w:rsidR="00000000" w:rsidDel="00000000" w:rsidP="00000000" w:rsidRDefault="00000000" w:rsidRPr="00000000" w14:paraId="00000002">
      <w:pPr>
        <w:spacing w:line="276" w:lineRule="auto"/>
        <w:ind w:firstLine="280"/>
        <w:jc w:val="center"/>
        <w:rPr>
          <w:rFonts w:ascii="Calibri" w:cs="Calibri" w:eastAsia="Calibri" w:hAnsi="Calibri"/>
          <w:b w:val="1"/>
          <w:color w:val="000000"/>
          <w:sz w:val="30"/>
          <w:szCs w:val="30"/>
        </w:rPr>
      </w:pPr>
      <w:bookmarkStart w:colFirst="0" w:colLast="0" w:name="_heading=h.gjdgxs" w:id="1"/>
      <w:bookmarkEnd w:id="1"/>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3</wp:posOffset>
            </wp:positionH>
            <wp:positionV relativeFrom="paragraph">
              <wp:posOffset>47625</wp:posOffset>
            </wp:positionV>
            <wp:extent cx="6081713" cy="3248025"/>
            <wp:effectExtent b="0" l="0" r="0" t="0"/>
            <wp:wrapSquare wrapText="bothSides" distB="19050" distT="19050" distL="19050" distR="19050"/>
            <wp:docPr id="41"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6081713" cy="3248025"/>
                    </a:xfrm>
                    <a:prstGeom prst="rect"/>
                    <a:ln/>
                  </pic:spPr>
                </pic:pic>
              </a:graphicData>
            </a:graphic>
          </wp:anchor>
        </w:drawing>
      </w:r>
    </w:p>
    <w:p w:rsidR="00000000" w:rsidDel="00000000" w:rsidP="00000000" w:rsidRDefault="00000000" w:rsidRPr="00000000" w14:paraId="00000003">
      <w:pPr>
        <w:spacing w:after="120" w:line="276" w:lineRule="auto"/>
        <w:ind w:firstLine="280"/>
        <w:jc w:val="both"/>
        <w:rPr>
          <w:rFonts w:ascii="Georgia" w:cs="Georgia" w:eastAsia="Georgia" w:hAnsi="Georgia"/>
          <w:color w:val="333333"/>
        </w:rPr>
      </w:pPr>
      <w:bookmarkStart w:colFirst="0" w:colLast="0" w:name="_heading=h.wxjwn9cun9sb" w:id="2"/>
      <w:bookmarkEnd w:id="2"/>
      <w:r w:rsidDel="00000000" w:rsidR="00000000" w:rsidRPr="00000000">
        <w:rPr>
          <w:rFonts w:ascii="Calibri" w:cs="Calibri" w:eastAsia="Calibri" w:hAnsi="Calibri"/>
          <w:b w:val="1"/>
          <w:color w:val="000000"/>
          <w:sz w:val="30"/>
          <w:szCs w:val="30"/>
          <w:rtl w:val="0"/>
        </w:rPr>
        <w:t xml:space="preserve">Figure 1. Learning Analytics as a Metacognitive Tool to Enhance Student Academic Success (Volungeviciene et al., 2021, p.175)</w:t>
      </w:r>
      <w:r w:rsidDel="00000000" w:rsidR="00000000" w:rsidRPr="00000000">
        <w:rPr>
          <w:rtl w:val="0"/>
        </w:rPr>
      </w:r>
    </w:p>
    <w:p w:rsidR="00000000" w:rsidDel="00000000" w:rsidP="00000000" w:rsidRDefault="00000000" w:rsidRPr="00000000" w14:paraId="00000004">
      <w:pPr>
        <w:keepNext w:val="1"/>
        <w:keepLines w:val="1"/>
        <w:pBdr>
          <w:top w:space="0" w:sz="0" w:val="nil"/>
          <w:left w:space="0" w:sz="0" w:val="nil"/>
          <w:bottom w:space="0" w:sz="0" w:val="nil"/>
          <w:right w:space="0" w:sz="0" w:val="nil"/>
          <w:between w:space="0" w:sz="0" w:val="nil"/>
        </w:pBdr>
        <w:spacing w:after="120" w:before="400" w:lineRule="auto"/>
        <w:rPr>
          <w:color w:val="000000"/>
          <w:sz w:val="28"/>
          <w:szCs w:val="28"/>
        </w:rPr>
      </w:pPr>
      <w:bookmarkStart w:colFirst="0" w:colLast="0" w:name="_heading=h.llpn4dbjlliy" w:id="3"/>
      <w:bookmarkEnd w:id="3"/>
      <w:r w:rsidDel="00000000" w:rsidR="00000000" w:rsidRPr="00000000">
        <w:rPr>
          <w:color w:val="000000"/>
          <w:sz w:val="40"/>
          <w:szCs w:val="40"/>
          <w:rtl w:val="0"/>
        </w:rPr>
        <w:t xml:space="preserve">INTRODUCTION</w:t>
      </w:r>
      <w:r w:rsidDel="00000000" w:rsidR="00000000" w:rsidRPr="00000000">
        <w:rPr>
          <w:rtl w:val="0"/>
        </w:rPr>
      </w:r>
    </w:p>
    <w:p w:rsidR="00000000" w:rsidDel="00000000" w:rsidP="00000000" w:rsidRDefault="00000000" w:rsidRPr="00000000" w14:paraId="00000005">
      <w:pPr>
        <w:spacing w:after="240" w:before="240" w:line="360" w:lineRule="auto"/>
        <w:jc w:val="both"/>
        <w:rPr>
          <w:rFonts w:ascii="Calibri" w:cs="Calibri" w:eastAsia="Calibri" w:hAnsi="Calibri"/>
        </w:rPr>
      </w:pPr>
      <w:r w:rsidDel="00000000" w:rsidR="00000000" w:rsidRPr="00000000">
        <w:rPr>
          <w:rFonts w:ascii="Calibri" w:cs="Calibri" w:eastAsia="Calibri" w:hAnsi="Calibri"/>
          <w:rtl w:val="0"/>
        </w:rPr>
        <w:t xml:space="preserve">According to the DigCompEdu Framework (Punie &amp; Redecker, 2017), evidence analysis is a part of the assessment competence and means to generate, select, critically analyse and interpret digital evidence on learner activity, performance and progress in order to inform teaching and learning. </w:t>
      </w:r>
    </w:p>
    <w:p w:rsidR="00000000" w:rsidDel="00000000" w:rsidP="00000000" w:rsidRDefault="00000000" w:rsidRPr="00000000" w14:paraId="00000006">
      <w:pPr>
        <w:spacing w:after="240" w:before="240" w:line="360" w:lineRule="auto"/>
        <w:jc w:val="both"/>
        <w:rPr>
          <w:rFonts w:ascii="Calibri" w:cs="Calibri" w:eastAsia="Calibri" w:hAnsi="Calibri"/>
        </w:rPr>
      </w:pPr>
      <w:r w:rsidDel="00000000" w:rsidR="00000000" w:rsidRPr="00000000">
        <w:rPr>
          <w:rFonts w:ascii="Calibri" w:cs="Calibri" w:eastAsia="Calibri" w:hAnsi="Calibri"/>
          <w:rtl w:val="0"/>
        </w:rPr>
        <w:t xml:space="preserve">By applying learning analytics to look at the evidence, teachers can adjust and adapt the curriculum to address learners’ needs and abilities. Analytics are also useful for teachers to plan the readjustment of content and strategies during the course according to students' needs and  making their learning process and interventions more personalised.</w:t>
      </w:r>
    </w:p>
    <w:p w:rsidR="00000000" w:rsidDel="00000000" w:rsidP="00000000" w:rsidRDefault="00000000" w:rsidRPr="00000000" w14:paraId="00000007">
      <w:pPr>
        <w:spacing w:after="240" w:before="240" w:line="360" w:lineRule="auto"/>
        <w:jc w:val="both"/>
        <w:rPr>
          <w:rFonts w:ascii="Calibri" w:cs="Calibri" w:eastAsia="Calibri" w:hAnsi="Calibri"/>
        </w:rPr>
      </w:pPr>
      <w:r w:rsidDel="00000000" w:rsidR="00000000" w:rsidRPr="00000000">
        <w:rPr>
          <w:rFonts w:ascii="Calibri" w:cs="Calibri" w:eastAsia="Calibri" w:hAnsi="Calibri"/>
          <w:rtl w:val="0"/>
        </w:rPr>
        <w:t xml:space="preserve">Learning analytics provide valuable information and insights not only for teachers but also for students. In fact, they raise awareness of learners’ cognitive skills and a stronger sense of community (Trespalacios &amp; Perkins, 2016), fostering more active learners’ engagement. As Sclater </w:t>
      </w:r>
      <w:r w:rsidDel="00000000" w:rsidR="00000000" w:rsidRPr="00000000">
        <w:rPr>
          <w:rFonts w:ascii="Calibri" w:cs="Calibri" w:eastAsia="Calibri" w:hAnsi="Calibri"/>
          <w:i w:val="1"/>
          <w:rtl w:val="0"/>
        </w:rPr>
        <w:t xml:space="preserve">et. al.</w:t>
      </w:r>
      <w:r w:rsidDel="00000000" w:rsidR="00000000" w:rsidRPr="00000000">
        <w:rPr>
          <w:rFonts w:ascii="Calibri" w:cs="Calibri" w:eastAsia="Calibri" w:hAnsi="Calibri"/>
          <w:rtl w:val="0"/>
        </w:rPr>
        <w:t xml:space="preserve"> (2016) mention, there are different ways to analyse and interpret evidence, such as the </w:t>
      </w:r>
      <w:r w:rsidDel="00000000" w:rsidR="00000000" w:rsidRPr="00000000">
        <w:rPr>
          <w:rFonts w:ascii="Calibri" w:cs="Calibri" w:eastAsia="Calibri" w:hAnsi="Calibri"/>
          <w:b w:val="1"/>
          <w:rtl w:val="0"/>
        </w:rPr>
        <w:t xml:space="preserve">development of predictive models </w:t>
      </w:r>
      <w:r w:rsidDel="00000000" w:rsidR="00000000" w:rsidRPr="00000000">
        <w:rPr>
          <w:rFonts w:ascii="Calibri" w:cs="Calibri" w:eastAsia="Calibri" w:hAnsi="Calibri"/>
          <w:rtl w:val="0"/>
        </w:rPr>
        <w:t xml:space="preserve">(see conceptual introduction), </w:t>
      </w:r>
      <w:r w:rsidDel="00000000" w:rsidR="00000000" w:rsidRPr="00000000">
        <w:rPr>
          <w:rFonts w:ascii="Calibri" w:cs="Calibri" w:eastAsia="Calibri" w:hAnsi="Calibri"/>
          <w:b w:val="1"/>
          <w:rtl w:val="0"/>
        </w:rPr>
        <w:t xml:space="preserve">social network analysis</w:t>
      </w:r>
      <w:r w:rsidDel="00000000" w:rsidR="00000000" w:rsidRPr="00000000">
        <w:rPr>
          <w:rFonts w:ascii="Calibri" w:cs="Calibri" w:eastAsia="Calibri" w:hAnsi="Calibri"/>
          <w:rtl w:val="0"/>
        </w:rPr>
        <w:t xml:space="preserve">, showing pattern interactions in discussion forums (Holmes </w:t>
      </w:r>
      <w:r w:rsidDel="00000000" w:rsidR="00000000" w:rsidRPr="00000000">
        <w:rPr>
          <w:rFonts w:ascii="Calibri" w:cs="Calibri" w:eastAsia="Calibri" w:hAnsi="Calibri"/>
          <w:i w:val="1"/>
          <w:rtl w:val="0"/>
        </w:rPr>
        <w:t xml:space="preserve">et al.</w:t>
      </w:r>
      <w:r w:rsidDel="00000000" w:rsidR="00000000" w:rsidRPr="00000000">
        <w:rPr>
          <w:rFonts w:ascii="Calibri" w:cs="Calibri" w:eastAsia="Calibri" w:hAnsi="Calibri"/>
          <w:rtl w:val="0"/>
        </w:rPr>
        <w:t xml:space="preserve">, 2019), and the </w:t>
      </w:r>
      <w:r w:rsidDel="00000000" w:rsidR="00000000" w:rsidRPr="00000000">
        <w:rPr>
          <w:rFonts w:ascii="Calibri" w:cs="Calibri" w:eastAsia="Calibri" w:hAnsi="Calibri"/>
          <w:b w:val="1"/>
          <w:rtl w:val="0"/>
        </w:rPr>
        <w:t xml:space="preserve">personalization of learning</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by guiding learners in their learning pathway with recommendations and indications about their progress.</w:t>
      </w:r>
    </w:p>
    <w:p w:rsidR="00000000" w:rsidDel="00000000" w:rsidP="00000000" w:rsidRDefault="00000000" w:rsidRPr="00000000" w14:paraId="00000008">
      <w:pPr>
        <w:spacing w:after="240" w:before="240" w:line="360" w:lineRule="auto"/>
        <w:jc w:val="both"/>
        <w:rPr>
          <w:rFonts w:ascii="Calibri" w:cs="Calibri" w:eastAsia="Calibri" w:hAnsi="Calibri"/>
        </w:rPr>
      </w:pPr>
      <w:r w:rsidDel="00000000" w:rsidR="00000000" w:rsidRPr="00000000">
        <w:rPr>
          <w:rFonts w:ascii="Calibri" w:cs="Calibri" w:eastAsia="Calibri" w:hAnsi="Calibri"/>
          <w:rtl w:val="0"/>
        </w:rPr>
        <w:t xml:space="preserve">In relation to the third aspect, personalization of learning, learning design solutions are not consistent and sequential for all students. Rather, teaching is focusing on a broad topic that covers a lot of different resources and learners’ behaviour patterns are different from each other.</w:t>
      </w:r>
    </w:p>
    <w:p w:rsidR="00000000" w:rsidDel="00000000" w:rsidP="00000000" w:rsidRDefault="00000000" w:rsidRPr="00000000" w14:paraId="00000009">
      <w:pPr>
        <w:spacing w:before="240" w:line="276" w:lineRule="auto"/>
        <w:jc w:val="both"/>
        <w:rPr>
          <w:rFonts w:ascii="Calibri" w:cs="Calibri" w:eastAsia="Calibri" w:hAnsi="Calibri"/>
        </w:rPr>
      </w:pPr>
      <w:r w:rsidDel="00000000" w:rsidR="00000000" w:rsidRPr="00000000">
        <w:rPr>
          <w:rFonts w:ascii="Calibri" w:cs="Calibri" w:eastAsia="Calibri" w:hAnsi="Calibri"/>
          <w:b w:val="1"/>
          <w:sz w:val="22"/>
          <w:szCs w:val="22"/>
          <w:rtl w:val="0"/>
        </w:rPr>
        <w:t xml:space="preserve">Important!</w:t>
      </w:r>
      <w:r w:rsidDel="00000000" w:rsidR="00000000" w:rsidRPr="00000000">
        <w:rPr>
          <w:rFonts w:ascii="Calibri" w:cs="Calibri" w:eastAsia="Calibri" w:hAnsi="Calibri"/>
          <w:sz w:val="22"/>
          <w:szCs w:val="22"/>
          <w:rtl w:val="0"/>
        </w:rPr>
        <w:t xml:space="preserve"> In the interests of transparency, it is important that students know from the very first lecture that the teacher can access and monitor the data related to their engagement in the virtual learning environment. It is also important to inform them what data is accessed, analysed, what it is used for and how data protection is ensured.</w:t>
      </w:r>
      <w:r w:rsidDel="00000000" w:rsidR="00000000" w:rsidRPr="00000000">
        <w:rPr>
          <w:rtl w:val="0"/>
        </w:rPr>
      </w:r>
    </w:p>
    <w:p w:rsidR="00000000" w:rsidDel="00000000" w:rsidP="00000000" w:rsidRDefault="00000000" w:rsidRPr="00000000" w14:paraId="0000000A">
      <w:pPr>
        <w:keepNext w:val="1"/>
        <w:keepLines w:val="1"/>
        <w:pBdr>
          <w:top w:space="0" w:sz="0" w:val="nil"/>
          <w:left w:space="0" w:sz="0" w:val="nil"/>
          <w:bottom w:space="0" w:sz="0" w:val="nil"/>
          <w:right w:space="0" w:sz="0" w:val="nil"/>
          <w:between w:space="0" w:sz="0" w:val="nil"/>
        </w:pBdr>
        <w:spacing w:after="240" w:before="240" w:line="360" w:lineRule="auto"/>
        <w:jc w:val="both"/>
        <w:rPr>
          <w:color w:val="000000"/>
          <w:sz w:val="32"/>
          <w:szCs w:val="32"/>
        </w:rPr>
      </w:pPr>
      <w:bookmarkStart w:colFirst="0" w:colLast="0" w:name="_heading=h.nf68u7hxt5ri" w:id="4"/>
      <w:bookmarkEnd w:id="4"/>
      <w:r w:rsidDel="00000000" w:rsidR="00000000" w:rsidRPr="00000000">
        <w:rPr>
          <w:color w:val="000000"/>
          <w:sz w:val="32"/>
          <w:szCs w:val="32"/>
          <w:rtl w:val="0"/>
        </w:rPr>
        <w:t xml:space="preserve">Topics</w:t>
      </w:r>
    </w:p>
    <w:p w:rsidR="00000000" w:rsidDel="00000000" w:rsidP="00000000" w:rsidRDefault="00000000" w:rsidRPr="00000000" w14:paraId="0000000B">
      <w:pPr>
        <w:spacing w:line="276" w:lineRule="auto"/>
        <w:ind w:left="708" w:hanging="570"/>
        <w:rPr>
          <w:rFonts w:ascii="Calibri" w:cs="Calibri" w:eastAsia="Calibri" w:hAnsi="Calibri"/>
        </w:rPr>
      </w:pPr>
      <w:r w:rsidDel="00000000" w:rsidR="00000000" w:rsidRPr="00000000">
        <w:rPr>
          <w:rFonts w:ascii="Calibri" w:cs="Calibri" w:eastAsia="Calibri" w:hAnsi="Calibri"/>
          <w:rtl w:val="0"/>
        </w:rPr>
        <w:t xml:space="preserve">2.1. How to analyse and interpret available evidence on learner activity and progress to support engagement?</w:t>
      </w:r>
    </w:p>
    <w:p w:rsidR="00000000" w:rsidDel="00000000" w:rsidP="00000000" w:rsidRDefault="00000000" w:rsidRPr="00000000" w14:paraId="0000000C">
      <w:pPr>
        <w:spacing w:line="276" w:lineRule="auto"/>
        <w:ind w:left="708" w:hanging="570"/>
        <w:rPr>
          <w:rFonts w:ascii="Calibri" w:cs="Calibri" w:eastAsia="Calibri" w:hAnsi="Calibri"/>
          <w:color w:val="2f5597"/>
        </w:rPr>
      </w:pPr>
      <w:r w:rsidDel="00000000" w:rsidR="00000000" w:rsidRPr="00000000">
        <w:rPr>
          <w:rFonts w:ascii="Calibri" w:cs="Calibri" w:eastAsia="Calibri" w:hAnsi="Calibri"/>
          <w:rtl w:val="0"/>
        </w:rPr>
        <w:t xml:space="preserve">2.2. How to make data-informed teaching and learning interventions through reports ?</w:t>
      </w:r>
      <w:r w:rsidDel="00000000" w:rsidR="00000000" w:rsidRPr="00000000">
        <w:rPr>
          <w:rtl w:val="0"/>
        </w:rPr>
      </w:r>
    </w:p>
    <w:p w:rsidR="00000000" w:rsidDel="00000000" w:rsidP="00000000" w:rsidRDefault="00000000" w:rsidRPr="00000000" w14:paraId="0000000D">
      <w:pPr>
        <w:keepNext w:val="1"/>
        <w:keepLines w:val="1"/>
        <w:pBdr>
          <w:top w:space="0" w:sz="0" w:val="nil"/>
          <w:left w:space="0" w:sz="0" w:val="nil"/>
          <w:bottom w:space="0" w:sz="0" w:val="nil"/>
          <w:right w:space="0" w:sz="0" w:val="nil"/>
          <w:between w:space="0" w:sz="0" w:val="nil"/>
        </w:pBdr>
        <w:spacing w:after="120" w:before="360" w:line="276" w:lineRule="auto"/>
        <w:ind w:left="708" w:hanging="570"/>
        <w:rPr>
          <w:color w:val="000000"/>
          <w:sz w:val="32"/>
          <w:szCs w:val="32"/>
        </w:rPr>
      </w:pPr>
      <w:bookmarkStart w:colFirst="0" w:colLast="0" w:name="_heading=h.3058d2z9cpmb" w:id="5"/>
      <w:bookmarkEnd w:id="5"/>
      <w:r w:rsidDel="00000000" w:rsidR="00000000" w:rsidRPr="00000000">
        <w:rPr>
          <w:color w:val="000000"/>
          <w:sz w:val="32"/>
          <w:szCs w:val="32"/>
          <w:rtl w:val="0"/>
        </w:rPr>
        <w:t xml:space="preserve">Outcomes</w:t>
      </w:r>
    </w:p>
    <w:p w:rsidR="00000000" w:rsidDel="00000000" w:rsidP="00000000" w:rsidRDefault="00000000" w:rsidRPr="00000000" w14:paraId="0000000E">
      <w:pPr>
        <w:numPr>
          <w:ilvl w:val="0"/>
          <w:numId w:val="1"/>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To use digital technologies to provide targeted and timely feedback to learners. </w:t>
      </w:r>
    </w:p>
    <w:p w:rsidR="00000000" w:rsidDel="00000000" w:rsidP="00000000" w:rsidRDefault="00000000" w:rsidRPr="00000000" w14:paraId="0000000F">
      <w:pPr>
        <w:numPr>
          <w:ilvl w:val="0"/>
          <w:numId w:val="1"/>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To adapt teaching strategies and to provide targeted support, based on the evidence generated by the digital technologies used. </w:t>
      </w:r>
    </w:p>
    <w:p w:rsidR="00000000" w:rsidDel="00000000" w:rsidP="00000000" w:rsidRDefault="00000000" w:rsidRPr="00000000" w14:paraId="00000010">
      <w:pPr>
        <w:numPr>
          <w:ilvl w:val="0"/>
          <w:numId w:val="1"/>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To generate, select, critically analyse and interpret digital evidence on learner activity, performance and progress, in order to inform teaching and learning.</w:t>
      </w:r>
    </w:p>
    <w:p w:rsidR="00000000" w:rsidDel="00000000" w:rsidP="00000000" w:rsidRDefault="00000000" w:rsidRPr="00000000" w14:paraId="00000011">
      <w:pPr>
        <w:numPr>
          <w:ilvl w:val="0"/>
          <w:numId w:val="1"/>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To use digital technologies to enable learners to reflect on and self-assess their learning process.</w:t>
      </w:r>
    </w:p>
    <w:p w:rsidR="00000000" w:rsidDel="00000000" w:rsidP="00000000" w:rsidRDefault="00000000" w:rsidRPr="00000000" w14:paraId="00000012">
      <w:pPr>
        <w:widowControl w:val="0"/>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3">
      <w:pPr>
        <w:keepNext w:val="1"/>
        <w:keepLines w:val="1"/>
        <w:pBdr>
          <w:top w:space="0" w:sz="0" w:val="nil"/>
          <w:left w:space="0" w:sz="0" w:val="nil"/>
          <w:bottom w:space="0" w:sz="0" w:val="nil"/>
          <w:right w:space="0" w:sz="0" w:val="nil"/>
          <w:between w:space="0" w:sz="0" w:val="nil"/>
        </w:pBdr>
        <w:spacing w:after="240" w:before="240" w:line="360" w:lineRule="auto"/>
        <w:jc w:val="both"/>
        <w:rPr>
          <w:color w:val="000000"/>
          <w:sz w:val="32"/>
          <w:szCs w:val="32"/>
        </w:rPr>
      </w:pPr>
      <w:bookmarkStart w:colFirst="0" w:colLast="0" w:name="_heading=h.d04xsutsvln5" w:id="6"/>
      <w:bookmarkEnd w:id="6"/>
      <w:r w:rsidDel="00000000" w:rsidR="00000000" w:rsidRPr="00000000">
        <w:rPr>
          <w:color w:val="000000"/>
          <w:sz w:val="32"/>
          <w:szCs w:val="32"/>
          <w:rtl w:val="0"/>
        </w:rPr>
        <w:t xml:space="preserve">DEFINITIONS (Glossary tool)</w:t>
      </w:r>
    </w:p>
    <w:p w:rsidR="00000000" w:rsidDel="00000000" w:rsidP="00000000" w:rsidRDefault="00000000" w:rsidRPr="00000000" w14:paraId="00000014">
      <w:pPr>
        <w:spacing w:after="240" w:before="240" w:lineRule="auto"/>
        <w:jc w:val="both"/>
        <w:rPr>
          <w:rFonts w:ascii="Calibri" w:cs="Calibri" w:eastAsia="Calibri" w:hAnsi="Calibri"/>
        </w:rPr>
      </w:pPr>
      <w:r w:rsidDel="00000000" w:rsidR="00000000" w:rsidRPr="00000000">
        <w:rPr>
          <w:rFonts w:ascii="Calibri" w:cs="Calibri" w:eastAsia="Calibri" w:hAnsi="Calibri"/>
          <w:b w:val="1"/>
          <w:rtl w:val="0"/>
        </w:rPr>
        <w:t xml:space="preserve">Learning progression:</w:t>
      </w:r>
      <w:r w:rsidDel="00000000" w:rsidR="00000000" w:rsidRPr="00000000">
        <w:rPr>
          <w:rFonts w:ascii="Calibri" w:cs="Calibri" w:eastAsia="Calibri" w:hAnsi="Calibri"/>
          <w:rtl w:val="0"/>
        </w:rPr>
        <w:t xml:space="preserve"> Learning progress</w:t>
      </w:r>
      <w:r w:rsidDel="00000000" w:rsidR="00000000" w:rsidRPr="00000000">
        <w:rPr>
          <w:rtl w:val="0"/>
        </w:rPr>
        <w:t xml:space="preserve">     </w:t>
      </w:r>
      <w:r w:rsidDel="00000000" w:rsidR="00000000" w:rsidRPr="00000000">
        <w:rPr>
          <w:rFonts w:ascii="Calibri" w:cs="Calibri" w:eastAsia="Calibri" w:hAnsi="Calibri"/>
          <w:rtl w:val="0"/>
        </w:rPr>
        <w:t xml:space="preserve"> describes increasing levels of difficulty and complexity in the acquisition of knowledge</w:t>
      </w:r>
      <w:r w:rsidDel="00000000" w:rsidR="00000000" w:rsidRPr="00000000">
        <w:rPr>
          <w:rtl w:val="0"/>
        </w:rPr>
        <w:t xml:space="preserve">               </w:t>
      </w:r>
      <w:r w:rsidDel="00000000" w:rsidR="00000000" w:rsidRPr="00000000">
        <w:rPr>
          <w:rFonts w:ascii="Calibri" w:cs="Calibri" w:eastAsia="Calibri" w:hAnsi="Calibri"/>
          <w:rtl w:val="0"/>
        </w:rPr>
        <w:t xml:space="preserve">,  </w:t>
      </w:r>
      <w:r w:rsidDel="00000000" w:rsidR="00000000" w:rsidRPr="00000000">
        <w:rPr>
          <w:rtl w:val="0"/>
        </w:rPr>
        <w:t xml:space="preserve">     </w:t>
      </w:r>
      <w:r w:rsidDel="00000000" w:rsidR="00000000" w:rsidRPr="00000000">
        <w:rPr>
          <w:rFonts w:ascii="Calibri" w:cs="Calibri" w:eastAsia="Calibri" w:hAnsi="Calibri"/>
          <w:rtl w:val="0"/>
        </w:rPr>
        <w:t xml:space="preserve">skills and attitudes in a given domain. Teachers have to be able to identify when and how to intervene to move students’ learning forward.  </w:t>
      </w:r>
      <w:r w:rsidDel="00000000" w:rsidR="00000000" w:rsidRPr="00000000">
        <w:rPr>
          <w:rtl w:val="0"/>
        </w:rPr>
        <w:t xml:space="preserve">     </w:t>
      </w:r>
      <w:r w:rsidDel="00000000" w:rsidR="00000000" w:rsidRPr="00000000">
        <w:rPr>
          <w:rFonts w:ascii="Calibri" w:cs="Calibri" w:eastAsia="Calibri" w:hAnsi="Calibri"/>
          <w:b w:val="1"/>
          <w:rtl w:val="0"/>
        </w:rPr>
        <w:t xml:space="preserve">Learner performance: </w:t>
      </w:r>
      <w:r w:rsidDel="00000000" w:rsidR="00000000" w:rsidRPr="00000000">
        <w:rPr>
          <w:rFonts w:ascii="Calibri" w:cs="Calibri" w:eastAsia="Calibri" w:hAnsi="Calibri"/>
          <w:rtl w:val="0"/>
        </w:rPr>
        <w:t xml:space="preserve">A measure of how well students are learning in terms of knowledge and skills development. </w:t>
      </w:r>
    </w:p>
    <w:p w:rsidR="00000000" w:rsidDel="00000000" w:rsidP="00000000" w:rsidRDefault="00000000" w:rsidRPr="00000000" w14:paraId="00000015">
      <w:pPr>
        <w:keepNext w:val="1"/>
        <w:keepLines w:val="1"/>
        <w:pBdr>
          <w:top w:space="0" w:sz="0" w:val="nil"/>
          <w:left w:space="0" w:sz="0" w:val="nil"/>
          <w:bottom w:space="0" w:sz="0" w:val="nil"/>
          <w:right w:space="0" w:sz="0" w:val="nil"/>
          <w:between w:space="0" w:sz="0" w:val="nil"/>
        </w:pBdr>
        <w:spacing w:after="120" w:before="360" w:lineRule="auto"/>
        <w:ind w:firstLine="720"/>
        <w:rPr>
          <w:color w:val="000000"/>
          <w:sz w:val="32"/>
          <w:szCs w:val="32"/>
        </w:rPr>
      </w:pPr>
      <w:bookmarkStart w:colFirst="0" w:colLast="0" w:name="_heading=h.2jfu1q11k3c5" w:id="7"/>
      <w:bookmarkEnd w:id="7"/>
      <w:r w:rsidDel="00000000" w:rsidR="00000000" w:rsidRPr="00000000">
        <w:rPr>
          <w:color w:val="000000"/>
          <w:sz w:val="32"/>
          <w:szCs w:val="32"/>
          <w:rtl w:val="0"/>
        </w:rPr>
        <w:t xml:space="preserve">STRATEGIES AND RECOMMENDATIONS ON HOW TO ANALYSE AND INTERPRET EVIDENCE</w:t>
      </w:r>
    </w:p>
    <w:p w:rsidR="00000000" w:rsidDel="00000000" w:rsidP="00000000" w:rsidRDefault="00000000" w:rsidRPr="00000000" w14:paraId="00000016">
      <w:pPr>
        <w:numPr>
          <w:ilvl w:val="0"/>
          <w:numId w:val="2"/>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Pedagogical point of view:</w:t>
      </w:r>
    </w:p>
    <w:p w:rsidR="00000000" w:rsidDel="00000000" w:rsidP="00000000" w:rsidRDefault="00000000" w:rsidRPr="00000000" w14:paraId="00000017">
      <w:pPr>
        <w:numPr>
          <w:ilvl w:val="1"/>
          <w:numId w:val="2"/>
        </w:numPr>
        <w:ind w:left="1440" w:hanging="360"/>
        <w:rPr>
          <w:rFonts w:ascii="Calibri" w:cs="Calibri" w:eastAsia="Calibri" w:hAnsi="Calibri"/>
        </w:rPr>
      </w:pPr>
      <w:r w:rsidDel="00000000" w:rsidR="00000000" w:rsidRPr="00000000">
        <w:rPr>
          <w:rFonts w:ascii="Calibri" w:cs="Calibri" w:eastAsia="Calibri" w:hAnsi="Calibri"/>
          <w:rtl w:val="0"/>
        </w:rPr>
        <w:t xml:space="preserve">Consider and decide what data on learners’ behaviour and learning process and progress is important for you to analyse;</w:t>
      </w:r>
    </w:p>
    <w:p w:rsidR="00000000" w:rsidDel="00000000" w:rsidP="00000000" w:rsidRDefault="00000000" w:rsidRPr="00000000" w14:paraId="00000018">
      <w:pPr>
        <w:numPr>
          <w:ilvl w:val="1"/>
          <w:numId w:val="2"/>
        </w:numPr>
        <w:ind w:left="1440" w:hanging="360"/>
        <w:rPr>
          <w:rFonts w:ascii="Calibri" w:cs="Calibri" w:eastAsia="Calibri" w:hAnsi="Calibri"/>
        </w:rPr>
      </w:pPr>
      <w:r w:rsidDel="00000000" w:rsidR="00000000" w:rsidRPr="00000000">
        <w:rPr>
          <w:rFonts w:ascii="Calibri" w:cs="Calibri" w:eastAsia="Calibri" w:hAnsi="Calibri"/>
          <w:rtl w:val="0"/>
        </w:rPr>
        <w:t xml:space="preserve">Decide which data is important to be analysed during the semester and which one at the end of semester/learning period;</w:t>
      </w:r>
    </w:p>
    <w:p w:rsidR="00000000" w:rsidDel="00000000" w:rsidP="00000000" w:rsidRDefault="00000000" w:rsidRPr="00000000" w14:paraId="00000019">
      <w:pPr>
        <w:numPr>
          <w:ilvl w:val="1"/>
          <w:numId w:val="2"/>
        </w:numPr>
        <w:ind w:left="1440" w:hanging="360"/>
        <w:rPr>
          <w:rFonts w:ascii="Calibri" w:cs="Calibri" w:eastAsia="Calibri" w:hAnsi="Calibri"/>
        </w:rPr>
      </w:pPr>
      <w:r w:rsidDel="00000000" w:rsidR="00000000" w:rsidRPr="00000000">
        <w:rPr>
          <w:rFonts w:ascii="Calibri" w:cs="Calibri" w:eastAsia="Calibri" w:hAnsi="Calibri"/>
          <w:rtl w:val="0"/>
        </w:rPr>
        <w:t xml:space="preserve">Inform students on what is generated and monitored and analysed by you and which data they can analyse themselves;</w:t>
      </w:r>
    </w:p>
    <w:p w:rsidR="00000000" w:rsidDel="00000000" w:rsidP="00000000" w:rsidRDefault="00000000" w:rsidRPr="00000000" w14:paraId="0000001A">
      <w:pPr>
        <w:numPr>
          <w:ilvl w:val="1"/>
          <w:numId w:val="2"/>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Analyse learners' activity reports that demonstrate how many times each learning resource or activity has been accessed by learners.  This may help to understand and learn about students’ learning styles and preferred formats of learning resources;</w:t>
      </w:r>
    </w:p>
    <w:p w:rsidR="00000000" w:rsidDel="00000000" w:rsidP="00000000" w:rsidRDefault="00000000" w:rsidRPr="00000000" w14:paraId="0000001B">
      <w:pPr>
        <w:numPr>
          <w:ilvl w:val="1"/>
          <w:numId w:val="2"/>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Reflect on what changes should be made regarding learning design, learning material, activities, assignments or assessment strategies based on digital evidence;</w:t>
      </w:r>
    </w:p>
    <w:p w:rsidR="00000000" w:rsidDel="00000000" w:rsidP="00000000" w:rsidRDefault="00000000" w:rsidRPr="00000000" w14:paraId="0000001C">
      <w:pPr>
        <w:numPr>
          <w:ilvl w:val="1"/>
          <w:numId w:val="2"/>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Provide feedback to students on their learning progress.</w:t>
      </w:r>
    </w:p>
    <w:p w:rsidR="00000000" w:rsidDel="00000000" w:rsidP="00000000" w:rsidRDefault="00000000" w:rsidRPr="00000000" w14:paraId="0000001D">
      <w:pPr>
        <w:rPr>
          <w:rFonts w:ascii="Calibri" w:cs="Calibri" w:eastAsia="Calibri" w:hAnsi="Calibri"/>
        </w:rPr>
      </w:pPr>
      <w:r w:rsidDel="00000000" w:rsidR="00000000" w:rsidRPr="00000000">
        <w:rPr>
          <w:rtl w:val="0"/>
        </w:rPr>
      </w:r>
    </w:p>
    <w:p w:rsidR="00000000" w:rsidDel="00000000" w:rsidP="00000000" w:rsidRDefault="00000000" w:rsidRPr="00000000" w14:paraId="0000001E">
      <w:pPr>
        <w:numPr>
          <w:ilvl w:val="0"/>
          <w:numId w:val="2"/>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Technical point of view:</w:t>
      </w:r>
    </w:p>
    <w:p w:rsidR="00000000" w:rsidDel="00000000" w:rsidP="00000000" w:rsidRDefault="00000000" w:rsidRPr="00000000" w14:paraId="0000001F">
      <w:pPr>
        <w:numPr>
          <w:ilvl w:val="1"/>
          <w:numId w:val="2"/>
        </w:numPr>
        <w:ind w:left="1440" w:hanging="360"/>
        <w:rPr>
          <w:rFonts w:ascii="Calibri" w:cs="Calibri" w:eastAsia="Calibri" w:hAnsi="Calibri"/>
        </w:rPr>
      </w:pPr>
      <w:r w:rsidDel="00000000" w:rsidR="00000000" w:rsidRPr="00000000">
        <w:rPr>
          <w:rFonts w:ascii="Calibri" w:cs="Calibri" w:eastAsia="Calibri" w:hAnsi="Calibri"/>
          <w:rtl w:val="0"/>
        </w:rPr>
        <w:t xml:space="preserve">Set-up and plan activities and assignments that would help to collect the data wanted;</w:t>
      </w:r>
    </w:p>
    <w:p w:rsidR="00000000" w:rsidDel="00000000" w:rsidP="00000000" w:rsidRDefault="00000000" w:rsidRPr="00000000" w14:paraId="00000020">
      <w:pPr>
        <w:numPr>
          <w:ilvl w:val="1"/>
          <w:numId w:val="2"/>
        </w:numPr>
        <w:ind w:left="1440" w:hanging="360"/>
        <w:rPr>
          <w:rFonts w:ascii="Calibri" w:cs="Calibri" w:eastAsia="Calibri" w:hAnsi="Calibri"/>
        </w:rPr>
      </w:pPr>
      <w:r w:rsidDel="00000000" w:rsidR="00000000" w:rsidRPr="00000000">
        <w:rPr>
          <w:rFonts w:ascii="Calibri" w:cs="Calibri" w:eastAsia="Calibri" w:hAnsi="Calibri"/>
          <w:rtl w:val="0"/>
        </w:rPr>
        <w:t xml:space="preserve">Integrate VLE-supported or external digital tools that foster learners active participation (e.g., Moodle Mind-map, Mentimeter, Padlet, Jamboard, Google Docs);</w:t>
      </w:r>
    </w:p>
    <w:p w:rsidR="00000000" w:rsidDel="00000000" w:rsidP="00000000" w:rsidRDefault="00000000" w:rsidRPr="00000000" w14:paraId="00000021">
      <w:pPr>
        <w:numPr>
          <w:ilvl w:val="1"/>
          <w:numId w:val="2"/>
        </w:numPr>
        <w:ind w:left="1440" w:hanging="360"/>
        <w:rPr>
          <w:rFonts w:ascii="Calibri" w:cs="Calibri" w:eastAsia="Calibri" w:hAnsi="Calibri"/>
        </w:rPr>
      </w:pPr>
      <w:r w:rsidDel="00000000" w:rsidR="00000000" w:rsidRPr="00000000">
        <w:rPr>
          <w:rFonts w:ascii="Calibri" w:cs="Calibri" w:eastAsia="Calibri" w:hAnsi="Calibri"/>
          <w:rtl w:val="0"/>
        </w:rPr>
        <w:t xml:space="preserve">Use digital tools to provide oral or written feedback to students.</w:t>
      </w:r>
    </w:p>
    <w:p w:rsidR="00000000" w:rsidDel="00000000" w:rsidP="00000000" w:rsidRDefault="00000000" w:rsidRPr="00000000" w14:paraId="00000022">
      <w:pPr>
        <w:keepNext w:val="1"/>
        <w:keepLines w:val="1"/>
        <w:spacing w:after="240" w:before="240" w:line="360" w:lineRule="auto"/>
        <w:jc w:val="both"/>
        <w:rPr>
          <w:sz w:val="28"/>
          <w:szCs w:val="28"/>
        </w:rPr>
      </w:pPr>
      <w:bookmarkStart w:colFirst="0" w:colLast="0" w:name="_heading=h.r7u8nafcelru" w:id="8"/>
      <w:bookmarkEnd w:id="8"/>
      <w:r w:rsidDel="00000000" w:rsidR="00000000" w:rsidRPr="00000000">
        <w:rPr>
          <w:rtl w:val="0"/>
        </w:rPr>
      </w:r>
    </w:p>
    <w:p w:rsidR="00000000" w:rsidDel="00000000" w:rsidP="00000000" w:rsidRDefault="00000000" w:rsidRPr="00000000" w14:paraId="00000023">
      <w:pPr>
        <w:keepNext w:val="1"/>
        <w:keepLines w:val="1"/>
        <w:spacing w:after="240" w:before="240" w:line="360" w:lineRule="auto"/>
        <w:jc w:val="both"/>
        <w:rPr>
          <w:rFonts w:ascii="Calibri" w:cs="Calibri" w:eastAsia="Calibri" w:hAnsi="Calibri"/>
        </w:rPr>
      </w:pPr>
      <w:bookmarkStart w:colFirst="0" w:colLast="0" w:name="_heading=h.pfaxb0yeocw0" w:id="9"/>
      <w:bookmarkEnd w:id="9"/>
      <w:r w:rsidDel="00000000" w:rsidR="00000000" w:rsidRPr="00000000">
        <w:rPr>
          <w:sz w:val="28"/>
          <w:szCs w:val="28"/>
          <w:rtl w:val="0"/>
        </w:rPr>
        <w:t xml:space="preserve">MATERIALS FOR FURTHER READING (OPTIONAL)</w:t>
      </w:r>
      <w:r w:rsidDel="00000000" w:rsidR="00000000" w:rsidRPr="00000000">
        <w:rPr>
          <w:rtl w:val="0"/>
        </w:rPr>
      </w:r>
    </w:p>
    <w:p w:rsidR="00000000" w:rsidDel="00000000" w:rsidP="00000000" w:rsidRDefault="00000000" w:rsidRPr="00000000" w14:paraId="00000024">
      <w:pPr>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Bodily, R., &amp; Verbert, K. (2017). Review of research on student-facing learning analytics dashboards and educational recommender systems. I</w:t>
      </w:r>
      <w:r w:rsidDel="00000000" w:rsidR="00000000" w:rsidRPr="00000000">
        <w:rPr>
          <w:rFonts w:ascii="Calibri" w:cs="Calibri" w:eastAsia="Calibri" w:hAnsi="Calibri"/>
          <w:i w:val="1"/>
          <w:rtl w:val="0"/>
        </w:rPr>
        <w:t xml:space="preserve">EEE Transactions on Learning Technologies</w:t>
      </w:r>
      <w:r w:rsidDel="00000000" w:rsidR="00000000" w:rsidRPr="00000000">
        <w:rPr>
          <w:rFonts w:ascii="Calibri" w:cs="Calibri" w:eastAsia="Calibri" w:hAnsi="Calibri"/>
          <w:rtl w:val="0"/>
        </w:rPr>
        <w:t xml:space="preserve">, 10(4), 405-418. DOI: </w:t>
      </w:r>
      <w:hyperlink r:id="rId8">
        <w:r w:rsidDel="00000000" w:rsidR="00000000" w:rsidRPr="00000000">
          <w:rPr>
            <w:rFonts w:ascii="Calibri" w:cs="Calibri" w:eastAsia="Calibri" w:hAnsi="Calibri"/>
            <w:rtl w:val="0"/>
          </w:rPr>
          <w:t xml:space="preserve">10.1109/TLT.2017.2740172</w:t>
        </w:r>
      </w:hyperlink>
      <w:r w:rsidDel="00000000" w:rsidR="00000000" w:rsidRPr="00000000">
        <w:rPr>
          <w:rFonts w:ascii="Calibri" w:cs="Calibri" w:eastAsia="Calibri" w:hAnsi="Calibri"/>
          <w:rtl w:val="0"/>
        </w:rPr>
        <w:br w:type="textWrapping"/>
        <w:br w:type="textWrapping"/>
        <w:t xml:space="preserve">Charleer, S., Moere, A. V., Klerkx, J., Verbert, K., &amp; De Laet, T. (2017). Learning analytics dashboards to support adviser-student dialogue. </w:t>
      </w:r>
      <w:r w:rsidDel="00000000" w:rsidR="00000000" w:rsidRPr="00000000">
        <w:rPr>
          <w:rFonts w:ascii="Calibri" w:cs="Calibri" w:eastAsia="Calibri" w:hAnsi="Calibri"/>
          <w:i w:val="1"/>
          <w:rtl w:val="0"/>
        </w:rPr>
        <w:t xml:space="preserve">IEEE Transactions on Learning Technologies</w:t>
      </w:r>
      <w:r w:rsidDel="00000000" w:rsidR="00000000" w:rsidRPr="00000000">
        <w:rPr>
          <w:rFonts w:ascii="Calibri" w:cs="Calibri" w:eastAsia="Calibri" w:hAnsi="Calibri"/>
          <w:rtl w:val="0"/>
        </w:rPr>
        <w:t xml:space="preserve">, 11(3), 389-399. DOI: </w:t>
      </w:r>
      <w:hyperlink r:id="rId9">
        <w:r w:rsidDel="00000000" w:rsidR="00000000" w:rsidRPr="00000000">
          <w:rPr>
            <w:rFonts w:ascii="Calibri" w:cs="Calibri" w:eastAsia="Calibri" w:hAnsi="Calibri"/>
            <w:rtl w:val="0"/>
          </w:rPr>
          <w:t xml:space="preserve">10.1109/TLT.2017.2720670</w:t>
        </w:r>
      </w:hyperlink>
      <w:r w:rsidDel="00000000" w:rsidR="00000000" w:rsidRPr="00000000">
        <w:rPr>
          <w:rtl w:val="0"/>
        </w:rPr>
      </w:r>
    </w:p>
    <w:p w:rsidR="00000000" w:rsidDel="00000000" w:rsidP="00000000" w:rsidRDefault="00000000" w:rsidRPr="00000000" w14:paraId="00000025">
      <w:pPr>
        <w:spacing w:before="240" w:lineRule="auto"/>
        <w:rPr>
          <w:rFonts w:ascii="Calibri" w:cs="Calibri" w:eastAsia="Calibri" w:hAnsi="Calibri"/>
        </w:rPr>
      </w:pPr>
      <w:r w:rsidDel="00000000" w:rsidR="00000000" w:rsidRPr="00000000">
        <w:rPr>
          <w:rFonts w:ascii="Calibri" w:cs="Calibri" w:eastAsia="Calibri" w:hAnsi="Calibri"/>
          <w:rtl w:val="0"/>
        </w:rPr>
        <w:t xml:space="preserve">Emplit, P. and Zhang, T. (2020). Evidence-based approaches to learning and teaching, </w:t>
      </w:r>
      <w:r w:rsidDel="00000000" w:rsidR="00000000" w:rsidRPr="00000000">
        <w:rPr>
          <w:rFonts w:ascii="Calibri" w:cs="Calibri" w:eastAsia="Calibri" w:hAnsi="Calibri"/>
          <w:i w:val="1"/>
          <w:rtl w:val="0"/>
        </w:rPr>
        <w:t xml:space="preserve">Learning and Teaching Paper #11</w:t>
      </w:r>
      <w:r w:rsidDel="00000000" w:rsidR="00000000" w:rsidRPr="00000000">
        <w:rPr>
          <w:rFonts w:ascii="Calibri" w:cs="Calibri" w:eastAsia="Calibri" w:hAnsi="Calibri"/>
          <w:rtl w:val="0"/>
        </w:rPr>
        <w:t xml:space="preserve">, Thematic peer group report, EUA. https://eua.eu/downloads/publications/eua%20report%20evidence-based%20approaches_web.pdf</w:t>
      </w:r>
      <w:r w:rsidDel="00000000" w:rsidR="00000000" w:rsidRPr="00000000">
        <w:rPr>
          <w:rtl w:val="0"/>
        </w:rPr>
        <w:t xml:space="preserve">     </w:t>
      </w:r>
      <w:r w:rsidDel="00000000" w:rsidR="00000000" w:rsidRPr="00000000">
        <w:rPr>
          <w:rFonts w:ascii="Calibri" w:cs="Calibri" w:eastAsia="Calibri" w:hAnsi="Calibri"/>
          <w:rtl w:val="0"/>
        </w:rPr>
        <w:t xml:space="preserve">f</w:t>
      </w:r>
    </w:p>
    <w:p w:rsidR="00000000" w:rsidDel="00000000" w:rsidP="00000000" w:rsidRDefault="00000000" w:rsidRPr="00000000" w14:paraId="00000026">
      <w:pPr>
        <w:spacing w:before="240" w:lineRule="auto"/>
        <w:rPr>
          <w:rFonts w:ascii="Calibri" w:cs="Calibri" w:eastAsia="Calibri" w:hAnsi="Calibri"/>
        </w:rPr>
      </w:pPr>
      <w:r w:rsidDel="00000000" w:rsidR="00000000" w:rsidRPr="00000000">
        <w:rPr>
          <w:rFonts w:ascii="Calibri" w:cs="Calibri" w:eastAsia="Calibri" w:hAnsi="Calibri"/>
          <w:rtl w:val="0"/>
        </w:rPr>
        <w:t xml:space="preserve">Er, E., Dimitriadis, Y. &amp; Gasevic, D. (2021). Collaborative peer feedback and learning analytics: theory oriented design for supporting class-wide interventions, ASSESSMENT &amp; EVALUATION IN HIGHER EDUCATION, VOL. 46, NO. 2, 169–190 </w:t>
      </w:r>
      <w:hyperlink r:id="rId10">
        <w:r w:rsidDel="00000000" w:rsidR="00000000" w:rsidRPr="00000000">
          <w:rPr>
            <w:rFonts w:ascii="Calibri" w:cs="Calibri" w:eastAsia="Calibri" w:hAnsi="Calibri"/>
            <w:color w:val="1155cc"/>
            <w:u w:val="single"/>
            <w:rtl w:val="0"/>
          </w:rPr>
          <w:t xml:space="preserve">https://doi.org/10.1080/02602938.2020.1764490</w:t>
        </w:r>
      </w:hyperlink>
      <w:r w:rsidDel="00000000" w:rsidR="00000000" w:rsidRPr="00000000">
        <w:rPr>
          <w:rtl w:val="0"/>
        </w:rPr>
      </w:r>
    </w:p>
    <w:p w:rsidR="00000000" w:rsidDel="00000000" w:rsidP="00000000" w:rsidRDefault="00000000" w:rsidRPr="00000000" w14:paraId="00000027">
      <w:pPr>
        <w:spacing w:before="200" w:lineRule="auto"/>
        <w:jc w:val="both"/>
        <w:rPr>
          <w:rFonts w:ascii="Calibri" w:cs="Calibri" w:eastAsia="Calibri" w:hAnsi="Calibri"/>
        </w:rPr>
      </w:pPr>
      <w:r w:rsidDel="00000000" w:rsidR="00000000" w:rsidRPr="00000000">
        <w:rPr>
          <w:rFonts w:ascii="Calibri" w:cs="Calibri" w:eastAsia="Calibri" w:hAnsi="Calibri"/>
          <w:rtl w:val="0"/>
        </w:rPr>
        <w:t xml:space="preserve">Holmes, W., Nguyen, Q., Zhang, J., Mavrikis, M., &amp; Rienties, B. (2019). Learning analytics for learning design in online distance learning, </w:t>
      </w:r>
      <w:r w:rsidDel="00000000" w:rsidR="00000000" w:rsidRPr="00000000">
        <w:rPr>
          <w:rFonts w:ascii="Calibri" w:cs="Calibri" w:eastAsia="Calibri" w:hAnsi="Calibri"/>
          <w:i w:val="1"/>
          <w:rtl w:val="0"/>
        </w:rPr>
        <w:t xml:space="preserve">Distance Education</w:t>
      </w:r>
      <w:r w:rsidDel="00000000" w:rsidR="00000000" w:rsidRPr="00000000">
        <w:rPr>
          <w:rFonts w:ascii="Calibri" w:cs="Calibri" w:eastAsia="Calibri" w:hAnsi="Calibri"/>
          <w:rtl w:val="0"/>
        </w:rPr>
        <w:t xml:space="preserve">, </w:t>
      </w:r>
      <w:hyperlink r:id="rId11">
        <w:r w:rsidDel="00000000" w:rsidR="00000000" w:rsidRPr="00000000">
          <w:rPr>
            <w:rFonts w:ascii="Calibri" w:cs="Calibri" w:eastAsia="Calibri" w:hAnsi="Calibri"/>
            <w:rtl w:val="0"/>
          </w:rPr>
          <w:t xml:space="preserve">https://doi.org/10.1080/01587919.2019.1637716</w:t>
        </w:r>
      </w:hyperlink>
      <w:r w:rsidDel="00000000" w:rsidR="00000000" w:rsidRPr="00000000">
        <w:rPr>
          <w:rtl w:val="0"/>
        </w:rPr>
      </w:r>
    </w:p>
    <w:p w:rsidR="00000000" w:rsidDel="00000000" w:rsidP="00000000" w:rsidRDefault="00000000" w:rsidRPr="00000000" w14:paraId="00000028">
      <w:pPr>
        <w:spacing w:before="200" w:lineRule="auto"/>
        <w:jc w:val="both"/>
        <w:rPr>
          <w:rFonts w:ascii="Calibri" w:cs="Calibri" w:eastAsia="Calibri" w:hAnsi="Calibri"/>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9">
      <w:pPr>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Kitto, K., &amp; Knight, S. (2019). Practical ethics for building learning analytics. </w:t>
      </w:r>
      <w:r w:rsidDel="00000000" w:rsidR="00000000" w:rsidRPr="00000000">
        <w:rPr>
          <w:rFonts w:ascii="Calibri" w:cs="Calibri" w:eastAsia="Calibri" w:hAnsi="Calibri"/>
          <w:i w:val="1"/>
          <w:rtl w:val="0"/>
        </w:rPr>
        <w:t xml:space="preserve">British Journal of Educational Technology</w:t>
      </w:r>
      <w:r w:rsidDel="00000000" w:rsidR="00000000" w:rsidRPr="00000000">
        <w:rPr>
          <w:rFonts w:ascii="Calibri" w:cs="Calibri" w:eastAsia="Calibri" w:hAnsi="Calibri"/>
          <w:rtl w:val="0"/>
        </w:rPr>
        <w:t xml:space="preserve">, 50(6), 2855-2870. </w:t>
      </w:r>
      <w:hyperlink r:id="rId12">
        <w:r w:rsidDel="00000000" w:rsidR="00000000" w:rsidRPr="00000000">
          <w:rPr>
            <w:rFonts w:ascii="Calibri" w:cs="Calibri" w:eastAsia="Calibri" w:hAnsi="Calibri"/>
            <w:rtl w:val="0"/>
          </w:rPr>
          <w:t xml:space="preserve">https://doi.org/10.1111/bjet.12868</w:t>
        </w:r>
      </w:hyperlink>
      <w:r w:rsidDel="00000000" w:rsidR="00000000" w:rsidRPr="00000000">
        <w:rPr>
          <w:rFonts w:ascii="Calibri" w:cs="Calibri" w:eastAsia="Calibri" w:hAnsi="Calibri"/>
          <w:rtl w:val="0"/>
        </w:rPr>
        <w:br w:type="textWrapping"/>
      </w:r>
    </w:p>
    <w:p w:rsidR="00000000" w:rsidDel="00000000" w:rsidP="00000000" w:rsidRDefault="00000000" w:rsidRPr="00000000" w14:paraId="0000002A">
      <w:pPr>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Matcha, W., Gašević, D., &amp; Pardo, A. (2019). A systematic review of empirical studies on learning analytics dashboards: A self-regulated learning perspective. </w:t>
      </w:r>
      <w:r w:rsidDel="00000000" w:rsidR="00000000" w:rsidRPr="00000000">
        <w:rPr>
          <w:rFonts w:ascii="Calibri" w:cs="Calibri" w:eastAsia="Calibri" w:hAnsi="Calibri"/>
          <w:i w:val="1"/>
          <w:rtl w:val="0"/>
        </w:rPr>
        <w:t xml:space="preserve">IEEE Transactions on Learning Technologies</w:t>
      </w:r>
      <w:r w:rsidDel="00000000" w:rsidR="00000000" w:rsidRPr="00000000">
        <w:rPr>
          <w:rFonts w:ascii="Calibri" w:cs="Calibri" w:eastAsia="Calibri" w:hAnsi="Calibri"/>
          <w:rtl w:val="0"/>
        </w:rPr>
        <w:t xml:space="preserve">, 13(2), 226-245. DOI: </w:t>
      </w:r>
      <w:hyperlink r:id="rId13">
        <w:r w:rsidDel="00000000" w:rsidR="00000000" w:rsidRPr="00000000">
          <w:rPr>
            <w:rFonts w:ascii="Calibri" w:cs="Calibri" w:eastAsia="Calibri" w:hAnsi="Calibri"/>
            <w:rtl w:val="0"/>
          </w:rPr>
          <w:t xml:space="preserve">10.1109/TLT.2019.2916802</w:t>
        </w:r>
      </w:hyperlink>
      <w:r w:rsidDel="00000000" w:rsidR="00000000" w:rsidRPr="00000000">
        <w:rPr>
          <w:rtl w:val="0"/>
        </w:rPr>
      </w:r>
    </w:p>
    <w:p w:rsidR="00000000" w:rsidDel="00000000" w:rsidP="00000000" w:rsidRDefault="00000000" w:rsidRPr="00000000" w14:paraId="0000002B">
      <w:pPr>
        <w:spacing w:before="200" w:lineRule="auto"/>
        <w:jc w:val="both"/>
        <w:rPr>
          <w:rFonts w:ascii="Calibri" w:cs="Calibri" w:eastAsia="Calibri" w:hAnsi="Calibri"/>
        </w:rPr>
      </w:pPr>
      <w:r w:rsidDel="00000000" w:rsidR="00000000" w:rsidRPr="00000000">
        <w:rPr>
          <w:rFonts w:ascii="Calibri" w:cs="Calibri" w:eastAsia="Calibri" w:hAnsi="Calibri"/>
          <w:rtl w:val="0"/>
        </w:rPr>
        <w:t xml:space="preserve">Punie, Y., editor(s), Redecker, C., </w:t>
      </w:r>
      <w:r w:rsidDel="00000000" w:rsidR="00000000" w:rsidRPr="00000000">
        <w:rPr>
          <w:rFonts w:ascii="Calibri" w:cs="Calibri" w:eastAsia="Calibri" w:hAnsi="Calibri"/>
          <w:i w:val="1"/>
          <w:rtl w:val="0"/>
        </w:rPr>
        <w:t xml:space="preserve">European Framework for the Digital Competence of Educators: DigCompEdu</w:t>
      </w:r>
      <w:r w:rsidDel="00000000" w:rsidR="00000000" w:rsidRPr="00000000">
        <w:rPr>
          <w:rtl w:val="0"/>
        </w:rPr>
        <w:t xml:space="preserve">     </w:t>
      </w:r>
      <w:r w:rsidDel="00000000" w:rsidR="00000000" w:rsidRPr="00000000">
        <w:rPr>
          <w:rFonts w:ascii="Calibri" w:cs="Calibri" w:eastAsia="Calibri" w:hAnsi="Calibri"/>
          <w:rtl w:val="0"/>
        </w:rPr>
        <w:t xml:space="preserve">, EUR 28775 EN, Publications Office of the European Union, Luxembourg, 2017. Retrieved from: https://op.europa.eu/en/publication-detail/-/publication/fcc33b68-d581-11e7-a5b9-01aa75ed71a1/language-en</w:t>
      </w:r>
      <w:r w:rsidDel="00000000" w:rsidR="00000000" w:rsidRPr="00000000">
        <w:rPr>
          <w:rtl w:val="0"/>
        </w:rPr>
        <w:t xml:space="preserve">     </w:t>
      </w:r>
      <w:r w:rsidDel="00000000" w:rsidR="00000000" w:rsidRPr="00000000">
        <w:rPr>
          <w:rFonts w:ascii="Calibri" w:cs="Calibri" w:eastAsia="Calibri" w:hAnsi="Calibri"/>
          <w:rtl w:val="0"/>
        </w:rPr>
        <w:t xml:space="preserve"> </w:t>
      </w:r>
      <w:r w:rsidDel="00000000" w:rsidR="00000000" w:rsidRPr="00000000">
        <w:rPr>
          <w:rtl w:val="0"/>
        </w:rPr>
        <w:t xml:space="preserve">     </w:t>
      </w:r>
      <w:r w:rsidDel="00000000" w:rsidR="00000000" w:rsidRPr="00000000">
        <w:rPr>
          <w:rFonts w:ascii="Calibri" w:cs="Calibri" w:eastAsia="Calibri" w:hAnsi="Calibri"/>
          <w:rtl w:val="0"/>
        </w:rPr>
        <w:t xml:space="preserve">Schumacher, C., &amp; Ifenthaler, D. (2018). Features students really expect from learning analytics.</w:t>
      </w:r>
      <w:r w:rsidDel="00000000" w:rsidR="00000000" w:rsidRPr="00000000">
        <w:rPr>
          <w:rFonts w:ascii="Calibri" w:cs="Calibri" w:eastAsia="Calibri" w:hAnsi="Calibri"/>
          <w:i w:val="1"/>
          <w:rtl w:val="0"/>
        </w:rPr>
        <w:t xml:space="preserve"> Computers in human behavior</w:t>
      </w:r>
      <w:r w:rsidDel="00000000" w:rsidR="00000000" w:rsidRPr="00000000">
        <w:rPr>
          <w:rFonts w:ascii="Calibri" w:cs="Calibri" w:eastAsia="Calibri" w:hAnsi="Calibri"/>
          <w:rtl w:val="0"/>
        </w:rPr>
        <w:t xml:space="preserve">, 78, 397-407.</w:t>
      </w:r>
    </w:p>
    <w:p w:rsidR="00000000" w:rsidDel="00000000" w:rsidP="00000000" w:rsidRDefault="00000000" w:rsidRPr="00000000" w14:paraId="0000002C">
      <w:pPr>
        <w:spacing w:before="200" w:lineRule="auto"/>
        <w:jc w:val="both"/>
        <w:rPr>
          <w:rFonts w:ascii="Calibri" w:cs="Calibri" w:eastAsia="Calibri" w:hAnsi="Calibri"/>
        </w:rPr>
      </w:pPr>
      <w:r w:rsidDel="00000000" w:rsidR="00000000" w:rsidRPr="00000000">
        <w:rPr>
          <w:rFonts w:ascii="Calibri" w:cs="Calibri" w:eastAsia="Calibri" w:hAnsi="Calibri"/>
          <w:rtl w:val="0"/>
        </w:rPr>
        <w:t xml:space="preserve">Sclater, N., Peasgood, A., and Mullan, J. (2016). </w:t>
      </w:r>
      <w:r w:rsidDel="00000000" w:rsidR="00000000" w:rsidRPr="00000000">
        <w:rPr>
          <w:rFonts w:ascii="Calibri" w:cs="Calibri" w:eastAsia="Calibri" w:hAnsi="Calibri"/>
          <w:i w:val="1"/>
          <w:rtl w:val="0"/>
        </w:rPr>
        <w:t xml:space="preserve">Learning Analytics in Higher Education</w:t>
      </w:r>
      <w:r w:rsidDel="00000000" w:rsidR="00000000" w:rsidRPr="00000000">
        <w:rPr>
          <w:rFonts w:ascii="Calibri" w:cs="Calibri" w:eastAsia="Calibri" w:hAnsi="Calibri"/>
          <w:rtl w:val="0"/>
        </w:rPr>
        <w:t xml:space="preserve">. Bristol: JISC.</w:t>
      </w:r>
    </w:p>
    <w:p w:rsidR="00000000" w:rsidDel="00000000" w:rsidP="00000000" w:rsidRDefault="00000000" w:rsidRPr="00000000" w14:paraId="0000002D">
      <w:pPr>
        <w:spacing w:before="240" w:lineRule="auto"/>
        <w:rPr>
          <w:rFonts w:ascii="Calibri" w:cs="Calibri" w:eastAsia="Calibri" w:hAnsi="Calibri"/>
        </w:rPr>
      </w:pPr>
      <w:r w:rsidDel="00000000" w:rsidR="00000000" w:rsidRPr="00000000">
        <w:rPr>
          <w:rFonts w:ascii="Calibri" w:cs="Calibri" w:eastAsia="Calibri" w:hAnsi="Calibri"/>
          <w:rtl w:val="0"/>
        </w:rPr>
        <w:t xml:space="preserve">Sedrakyan, G., Malmberg, J., Verbert, K., Järvelä, S., &amp; Kirschner, P. A. (2020). Linking learning behavior analytics and learning science concepts: Designing a learning analytics dashboard for feedback to support learning regulation. </w:t>
      </w:r>
      <w:r w:rsidDel="00000000" w:rsidR="00000000" w:rsidRPr="00000000">
        <w:rPr>
          <w:rFonts w:ascii="Calibri" w:cs="Calibri" w:eastAsia="Calibri" w:hAnsi="Calibri"/>
          <w:i w:val="1"/>
          <w:rtl w:val="0"/>
        </w:rPr>
        <w:t xml:space="preserve">Computers in Human Behavior</w:t>
      </w:r>
      <w:r w:rsidDel="00000000" w:rsidR="00000000" w:rsidRPr="00000000">
        <w:rPr>
          <w:rFonts w:ascii="Calibri" w:cs="Calibri" w:eastAsia="Calibri" w:hAnsi="Calibri"/>
          <w:rtl w:val="0"/>
        </w:rPr>
        <w:t xml:space="preserve">, 107, 105512.</w:t>
        <w:br w:type="textWrapping"/>
      </w:r>
      <w:r w:rsidDel="00000000" w:rsidR="00000000" w:rsidRPr="00000000">
        <w:rPr>
          <w:rtl w:val="0"/>
        </w:rPr>
        <w:t xml:space="preserve">     </w:t>
      </w:r>
      <w:hyperlink r:id="rId14">
        <w:r w:rsidDel="00000000" w:rsidR="00000000" w:rsidRPr="00000000">
          <w:rPr>
            <w:rFonts w:ascii="Calibri" w:cs="Calibri" w:eastAsia="Calibri" w:hAnsi="Calibri"/>
            <w:color w:val="1155cc"/>
            <w:u w:val="single"/>
            <w:rtl w:val="0"/>
          </w:rPr>
          <w:t xml:space="preserve">https://doi.org/10.1016/j.chb.2018.05.004</w:t>
        </w:r>
      </w:hyperlink>
      <w:r w:rsidDel="00000000" w:rsidR="00000000" w:rsidRPr="00000000">
        <w:rPr>
          <w:rtl w:val="0"/>
        </w:rPr>
      </w:r>
    </w:p>
    <w:p w:rsidR="00000000" w:rsidDel="00000000" w:rsidP="00000000" w:rsidRDefault="00000000" w:rsidRPr="00000000" w14:paraId="0000002E">
      <w:pPr>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Silvola, A., Näykki, P., Kaveri, A., &amp; Muukkonen, H. (2021). Expectations for supporting student engagement with learning analytics: An academic path perspective. </w:t>
      </w:r>
      <w:r w:rsidDel="00000000" w:rsidR="00000000" w:rsidRPr="00000000">
        <w:rPr>
          <w:rFonts w:ascii="Calibri" w:cs="Calibri" w:eastAsia="Calibri" w:hAnsi="Calibri"/>
          <w:i w:val="1"/>
          <w:rtl w:val="0"/>
        </w:rPr>
        <w:t xml:space="preserve">Computers &amp; Education</w:t>
      </w:r>
      <w:r w:rsidDel="00000000" w:rsidR="00000000" w:rsidRPr="00000000">
        <w:rPr>
          <w:rFonts w:ascii="Calibri" w:cs="Calibri" w:eastAsia="Calibri" w:hAnsi="Calibri"/>
          <w:rtl w:val="0"/>
        </w:rPr>
        <w:t xml:space="preserve">, 168, 104192.   </w:t>
      </w:r>
      <w:hyperlink r:id="rId15">
        <w:r w:rsidDel="00000000" w:rsidR="00000000" w:rsidRPr="00000000">
          <w:rPr>
            <w:rFonts w:ascii="Calibri" w:cs="Calibri" w:eastAsia="Calibri" w:hAnsi="Calibri"/>
            <w:rtl w:val="0"/>
          </w:rPr>
          <w:t xml:space="preserve">https://doi.org/10.1016/j.compedu.2021.104192</w:t>
        </w:r>
      </w:hyperlink>
      <w:r w:rsidDel="00000000" w:rsidR="00000000" w:rsidRPr="00000000">
        <w:rPr>
          <w:rtl w:val="0"/>
        </w:rPr>
      </w:r>
    </w:p>
    <w:p w:rsidR="00000000" w:rsidDel="00000000" w:rsidP="00000000" w:rsidRDefault="00000000" w:rsidRPr="00000000" w14:paraId="0000002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Trespalacios, J., &amp; Perkins, R. (2016). Sense of community, perceived learning, and achievement relationships in an online graduate course. </w:t>
      </w:r>
      <w:r w:rsidDel="00000000" w:rsidR="00000000" w:rsidRPr="00000000">
        <w:rPr>
          <w:rFonts w:ascii="Calibri" w:cs="Calibri" w:eastAsia="Calibri" w:hAnsi="Calibri"/>
          <w:i w:val="1"/>
          <w:rtl w:val="0"/>
        </w:rPr>
        <w:t xml:space="preserve">Turkish Online Journal of Distance Education</w:t>
      </w:r>
      <w:r w:rsidDel="00000000" w:rsidR="00000000" w:rsidRPr="00000000">
        <w:rPr>
          <w:rFonts w:ascii="Calibri" w:cs="Calibri" w:eastAsia="Calibri" w:hAnsi="Calibri"/>
          <w:rtl w:val="0"/>
        </w:rPr>
        <w:t xml:space="preserve">, 17(3), 31–49. DOI:</w:t>
      </w:r>
      <w:hyperlink r:id="rId16">
        <w:r w:rsidDel="00000000" w:rsidR="00000000" w:rsidRPr="00000000">
          <w:rPr>
            <w:rFonts w:ascii="Calibri" w:cs="Calibri" w:eastAsia="Calibri" w:hAnsi="Calibri"/>
            <w:rtl w:val="0"/>
          </w:rPr>
          <w:t xml:space="preserve">10.17718/tojde.12984</w:t>
        </w:r>
      </w:hyperlink>
      <w:r w:rsidDel="00000000" w:rsidR="00000000" w:rsidRPr="00000000">
        <w:rPr>
          <w:rtl w:val="0"/>
        </w:rPr>
        <w:t xml:space="preserve">     </w:t>
      </w:r>
      <w:hyperlink r:id="rId17">
        <w:r w:rsidDel="00000000" w:rsidR="00000000" w:rsidRPr="00000000">
          <w:rPr>
            <w:rFonts w:ascii="Calibri" w:cs="Calibri" w:eastAsia="Calibri" w:hAnsi="Calibri"/>
            <w:rtl w:val="0"/>
          </w:rPr>
          <w:t xml:space="preserve">Volungevičienė, A. (2021). </w:t>
        </w:r>
      </w:hyperlink>
      <w:hyperlink r:id="rId18">
        <w:r w:rsidDel="00000000" w:rsidR="00000000" w:rsidRPr="00000000">
          <w:rPr>
            <w:rFonts w:ascii="Calibri" w:cs="Calibri" w:eastAsia="Calibri" w:hAnsi="Calibri"/>
            <w:i w:val="1"/>
            <w:rtl w:val="0"/>
          </w:rPr>
          <w:t xml:space="preserve">Data Analysis of Case Study Examples. In Learning Analytics: a Metacognitive Tool to Engage Students</w:t>
        </w:r>
      </w:hyperlink>
      <w:hyperlink r:id="rId19">
        <w:r w:rsidDel="00000000" w:rsidR="00000000" w:rsidRPr="00000000">
          <w:rPr>
            <w:rFonts w:ascii="Calibri" w:cs="Calibri" w:eastAsia="Calibri" w:hAnsi="Calibri"/>
            <w:rtl w:val="0"/>
          </w:rPr>
          <w:t xml:space="preserve"> (pp. 73-170). Sciendo.</w:t>
        </w:r>
      </w:hyperlink>
      <w:hyperlink r:id="rId20">
        <w:r w:rsidDel="00000000" w:rsidR="00000000" w:rsidRPr="00000000">
          <w:rPr>
            <w:rFonts w:ascii="Calibri" w:cs="Calibri" w:eastAsia="Calibri" w:hAnsi="Calibri"/>
            <w:rtl w:val="0"/>
          </w:rPr>
          <w:t xml:space="preserve"> https://doi.org/10.2478/9788366675643-005</w:t>
        </w:r>
      </w:hyperlink>
      <w:hyperlink r:id="rId21">
        <w:r w:rsidDel="00000000" w:rsidR="00000000" w:rsidRPr="00000000">
          <w:rPr>
            <w:rFonts w:ascii="Calibri" w:cs="Calibri" w:eastAsia="Calibri" w:hAnsi="Calibri"/>
            <w:rtl w:val="0"/>
          </w:rPr>
          <w:t xml:space="preserve">. https://www.sciendo.com/pl/chapter/9788366675643/10.2478/9788366675643-005</w:t>
        </w:r>
      </w:hyperlink>
      <w:r w:rsidDel="00000000" w:rsidR="00000000" w:rsidRPr="00000000">
        <w:rPr>
          <w:rtl w:val="0"/>
        </w:rPr>
      </w:r>
    </w:p>
    <w:p w:rsidR="00000000" w:rsidDel="00000000" w:rsidP="00000000" w:rsidRDefault="00000000" w:rsidRPr="00000000" w14:paraId="00000030">
      <w:pPr>
        <w:spacing w:after="240" w:befor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31">
      <w:pPr>
        <w:spacing w:after="240" w:before="240" w:line="360" w:lineRule="auto"/>
        <w:rPr>
          <w:rFonts w:ascii="Calibri" w:cs="Calibri" w:eastAsia="Calibri" w:hAnsi="Calibri"/>
          <w:b w:val="1"/>
          <w:sz w:val="22"/>
          <w:szCs w:val="22"/>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32">
      <w:pPr>
        <w:spacing w:after="240" w:before="240" w:line="276" w:lineRule="auto"/>
        <w:ind w:left="36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33">
      <w:pPr>
        <w:spacing w:after="240" w:before="240" w:line="276" w:lineRule="auto"/>
        <w:ind w:left="36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34">
      <w:pPr>
        <w:spacing w:after="240" w:before="240" w:line="276" w:lineRule="auto"/>
        <w:ind w:left="36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35">
      <w:pPr>
        <w:spacing w:after="240" w:before="240" w:line="276" w:lineRule="auto"/>
        <w:ind w:left="36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36">
      <w:pPr>
        <w:spacing w:after="240" w:before="240" w:line="276" w:lineRule="auto"/>
        <w:rPr>
          <w:rFonts w:ascii="Calibri" w:cs="Calibri" w:eastAsia="Calibri" w:hAnsi="Calibri"/>
          <w:color w:val="000000"/>
        </w:rPr>
      </w:pPr>
      <w:r w:rsidDel="00000000" w:rsidR="00000000" w:rsidRPr="00000000">
        <w:rPr>
          <w:rFonts w:ascii="Calibri" w:cs="Calibri" w:eastAsia="Calibri" w:hAnsi="Calibri"/>
          <w:b w:val="1"/>
          <w:sz w:val="22"/>
          <w:szCs w:val="22"/>
          <w:rtl w:val="0"/>
        </w:rPr>
        <w:t xml:space="preserve"> </w:t>
      </w:r>
      <w:r w:rsidDel="00000000" w:rsidR="00000000" w:rsidRPr="00000000">
        <w:rPr>
          <w:rtl w:val="0"/>
        </w:rPr>
      </w:r>
    </w:p>
    <w:sectPr>
      <w:headerReference r:id="rId22" w:type="default"/>
      <w:footerReference r:id="rId23" w:type="default"/>
      <w:footerReference r:id="rId24"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Time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spacing w:after="240" w:before="240" w:lineRule="auto"/>
      <w:rPr/>
    </w:pPr>
    <w:r w:rsidDel="00000000" w:rsidR="00000000" w:rsidRPr="00000000">
      <w:rPr>
        <w:rFonts w:ascii="Times" w:cs="Times" w:eastAsia="Times" w:hAnsi="Times"/>
        <w:color w:val="1d2125"/>
        <w:sz w:val="19"/>
        <w:szCs w:val="19"/>
        <w:highlight w:val="white"/>
      </w:rPr>
      <w:drawing>
        <wp:inline distB="114300" distT="114300" distL="114300" distR="114300">
          <wp:extent cx="1035326" cy="190500"/>
          <wp:effectExtent b="0" l="0" r="0" t="0"/>
          <wp:docPr id="4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35326" cy="190500"/>
                  </a:xfrm>
                  <a:prstGeom prst="rect"/>
                  <a:ln/>
                </pic:spPr>
              </pic:pic>
            </a:graphicData>
          </a:graphic>
        </wp:inline>
      </w:drawing>
    </w:r>
    <w:r w:rsidDel="00000000" w:rsidR="00000000" w:rsidRPr="00000000">
      <w:rPr>
        <w:rFonts w:ascii="Times" w:cs="Times" w:eastAsia="Times" w:hAnsi="Times"/>
        <w:color w:val="1d2125"/>
        <w:sz w:val="19"/>
        <w:szCs w:val="19"/>
        <w:highlight w:val="white"/>
        <w:rtl w:val="0"/>
      </w:rPr>
      <w:t xml:space="preserve">Training material "Monitoring, supporting, and engaging students based on the evidence generated by digital technologies" by</w:t>
    </w:r>
    <w:hyperlink r:id="rId2">
      <w:r w:rsidDel="00000000" w:rsidR="00000000" w:rsidRPr="00000000">
        <w:rPr>
          <w:rFonts w:ascii="Times" w:cs="Times" w:eastAsia="Times" w:hAnsi="Times"/>
          <w:color w:val="1d2125"/>
          <w:sz w:val="19"/>
          <w:szCs w:val="19"/>
          <w:highlight w:val="white"/>
          <w:rtl w:val="0"/>
        </w:rPr>
        <w:t xml:space="preserve"> </w:t>
      </w:r>
    </w:hyperlink>
    <w:hyperlink r:id="rId3">
      <w:r w:rsidDel="00000000" w:rsidR="00000000" w:rsidRPr="00000000">
        <w:rPr>
          <w:rFonts w:ascii="Times" w:cs="Times" w:eastAsia="Times" w:hAnsi="Times"/>
          <w:color w:val="8b1a4a"/>
          <w:sz w:val="19"/>
          <w:szCs w:val="19"/>
          <w:highlight w:val="white"/>
          <w:u w:val="single"/>
          <w:rtl w:val="0"/>
        </w:rPr>
        <w:t xml:space="preserve">Maina, M.F., Guàrdia, L., Duart, J.M., Mancini, F., Malerba, M.L., Volungeviciene, A., Tamoliune, G.</w:t>
      </w:r>
    </w:hyperlink>
    <w:r w:rsidDel="00000000" w:rsidR="00000000" w:rsidRPr="00000000">
      <w:rPr>
        <w:rFonts w:ascii="Times" w:cs="Times" w:eastAsia="Times" w:hAnsi="Times"/>
        <w:color w:val="1d2125"/>
        <w:sz w:val="19"/>
        <w:szCs w:val="19"/>
        <w:highlight w:val="white"/>
        <w:rtl w:val="0"/>
      </w:rPr>
      <w:t xml:space="preserve"> is licensed under a</w:t>
    </w:r>
    <w:hyperlink r:id="rId4">
      <w:r w:rsidDel="00000000" w:rsidR="00000000" w:rsidRPr="00000000">
        <w:rPr>
          <w:rFonts w:ascii="Times" w:cs="Times" w:eastAsia="Times" w:hAnsi="Times"/>
          <w:color w:val="1d2125"/>
          <w:sz w:val="19"/>
          <w:szCs w:val="19"/>
          <w:highlight w:val="white"/>
          <w:rtl w:val="0"/>
        </w:rPr>
        <w:t xml:space="preserve"> </w:t>
      </w:r>
    </w:hyperlink>
    <w:hyperlink r:id="rId5">
      <w:r w:rsidDel="00000000" w:rsidR="00000000" w:rsidRPr="00000000">
        <w:rPr>
          <w:rFonts w:ascii="Times" w:cs="Times" w:eastAsia="Times" w:hAnsi="Times"/>
          <w:color w:val="8b1a4a"/>
          <w:sz w:val="19"/>
          <w:szCs w:val="19"/>
          <w:highlight w:val="white"/>
          <w:u w:val="single"/>
          <w:rtl w:val="0"/>
        </w:rPr>
        <w:t xml:space="preserve">Creative Commons Attribution-ShareAlike 4.0 International License</w:t>
      </w:r>
    </w:hyperlink>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680"/>
        <w:tab w:val="right" w:leader="none" w:pos="9360"/>
      </w:tabs>
      <w:jc w:val="center"/>
      <w:rPr>
        <w:rFonts w:ascii="Times" w:cs="Times" w:eastAsia="Times" w:hAnsi="Times"/>
        <w:color w:val="000000"/>
      </w:rPr>
    </w:pPr>
    <w:r w:rsidDel="00000000" w:rsidR="00000000" w:rsidRPr="00000000">
      <w:rPr>
        <w:rFonts w:ascii="Times" w:cs="Times" w:eastAsia="Times" w:hAnsi="Times"/>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0">
    <w:pPr>
      <w:jc w:val="center"/>
      <w:rPr>
        <w:rFonts w:ascii="Calibri" w:cs="Calibri" w:eastAsia="Calibri" w:hAnsi="Calibri"/>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rPr>
        <w:i w:val="1"/>
        <w:sz w:val="20"/>
        <w:szCs w:val="20"/>
      </w:rPr>
    </w:pPr>
    <w:r w:rsidDel="00000000" w:rsidR="00000000" w:rsidRPr="00000000">
      <w:rPr>
        <w:rtl w:val="0"/>
      </w:rPr>
      <w:t xml:space="preserve">                                                    </w:t>
    </w:r>
    <w:r w:rsidDel="00000000" w:rsidR="00000000" w:rsidRPr="00000000">
      <w:rPr>
        <w:i w:val="1"/>
        <w:sz w:val="20"/>
        <w:szCs w:val="20"/>
        <w:rtl w:val="0"/>
      </w:rPr>
      <w:t xml:space="preserve">Training Material for HE Teachers</w:t>
    </w:r>
    <w:r w:rsidDel="00000000" w:rsidR="00000000" w:rsidRPr="00000000">
      <w:drawing>
        <wp:anchor allowOverlap="1" behindDoc="0" distB="114300" distT="114300" distL="114300" distR="114300" hidden="0" layoutInCell="1" locked="0" relativeHeight="0" simplePos="0">
          <wp:simplePos x="0" y="0"/>
          <wp:positionH relativeFrom="column">
            <wp:posOffset>3905250</wp:posOffset>
          </wp:positionH>
          <wp:positionV relativeFrom="paragraph">
            <wp:posOffset>28584</wp:posOffset>
          </wp:positionV>
          <wp:extent cx="2033588" cy="430182"/>
          <wp:effectExtent b="0" l="0" r="0" t="0"/>
          <wp:wrapNone/>
          <wp:docPr id="4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33588" cy="430182"/>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7</wp:posOffset>
          </wp:positionH>
          <wp:positionV relativeFrom="paragraph">
            <wp:posOffset>28581</wp:posOffset>
          </wp:positionV>
          <wp:extent cx="1446609" cy="428625"/>
          <wp:effectExtent b="0" l="0" r="0" t="0"/>
          <wp:wrapNone/>
          <wp:docPr id="42"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446609" cy="428625"/>
                  </a:xfrm>
                  <a:prstGeom prst="rect"/>
                  <a:ln/>
                </pic:spPr>
              </pic:pic>
            </a:graphicData>
          </a:graphic>
        </wp:anchor>
      </w:drawing>
    </w:r>
  </w:p>
  <w:p w:rsidR="00000000" w:rsidDel="00000000" w:rsidP="00000000" w:rsidRDefault="00000000" w:rsidRPr="00000000" w14:paraId="00000038">
    <w:pPr>
      <w:rPr>
        <w:i w:val="1"/>
        <w:sz w:val="20"/>
        <w:szCs w:val="20"/>
      </w:rPr>
    </w:pPr>
    <w:r w:rsidDel="00000000" w:rsidR="00000000" w:rsidRPr="00000000">
      <w:rPr>
        <w:i w:val="1"/>
        <w:sz w:val="20"/>
        <w:szCs w:val="20"/>
        <w:rtl w:val="0"/>
      </w:rPr>
      <w:t xml:space="preserve">                                                                      UOC_VMU</w:t>
    </w:r>
  </w:p>
  <w:p w:rsidR="00000000" w:rsidDel="00000000" w:rsidP="00000000" w:rsidRDefault="00000000" w:rsidRPr="00000000" w14:paraId="00000039">
    <w:pPr>
      <w:rPr>
        <w:i w:val="1"/>
        <w:sz w:val="20"/>
        <w:szCs w:val="20"/>
      </w:rPr>
    </w:pPr>
    <w:r w:rsidDel="00000000" w:rsidR="00000000" w:rsidRPr="00000000">
      <w:rPr>
        <w:rtl w:val="0"/>
      </w:rPr>
    </w:r>
  </w:p>
  <w:p w:rsidR="00000000" w:rsidDel="00000000" w:rsidP="00000000" w:rsidRDefault="00000000" w:rsidRPr="00000000" w14:paraId="0000003A">
    <w:pPr>
      <w:rPr>
        <w:i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rPr>
        <w:i w:val="1"/>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rsid w:val="00DB24DF"/>
  </w:style>
  <w:style w:type="paragraph" w:styleId="Ttol1">
    <w:name w:val="heading 1"/>
    <w:basedOn w:val="Normal"/>
    <w:next w:val="Normal"/>
    <w:uiPriority w:val="9"/>
    <w:qFormat w:val="1"/>
    <w:pPr>
      <w:keepNext w:val="1"/>
      <w:keepLines w:val="1"/>
      <w:spacing w:after="120" w:before="400"/>
      <w:outlineLvl w:val="0"/>
    </w:pPr>
    <w:rPr>
      <w:sz w:val="40"/>
      <w:szCs w:val="40"/>
    </w:rPr>
  </w:style>
  <w:style w:type="paragraph" w:styleId="Ttol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ol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ol4">
    <w:name w:val="heading 4"/>
    <w:basedOn w:val="Normal"/>
    <w:next w:val="Normal"/>
    <w:uiPriority w:val="9"/>
    <w:semiHidden w:val="1"/>
    <w:unhideWhenUsed w:val="1"/>
    <w:qFormat w:val="1"/>
    <w:pPr>
      <w:keepNext w:val="1"/>
      <w:keepLines w:val="1"/>
      <w:spacing w:after="80" w:before="280"/>
      <w:outlineLvl w:val="3"/>
    </w:pPr>
    <w:rPr>
      <w:color w:val="666666"/>
    </w:rPr>
  </w:style>
  <w:style w:type="paragraph" w:styleId="Ttol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ol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Tipusdelletraperdefectedelpargraf" w:default="1">
    <w:name w:val="Default Paragraph Font"/>
    <w:uiPriority w:val="1"/>
    <w:semiHidden w:val="1"/>
    <w:unhideWhenUsed w:val="1"/>
  </w:style>
  <w:style w:type="table" w:styleId="Tau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nsel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ol">
    <w:name w:val="Title"/>
    <w:basedOn w:val="Normal"/>
    <w:next w:val="Normal"/>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paragraph" w:styleId="Subttol">
    <w:name w:val="Subtitle"/>
    <w:basedOn w:val="Normal"/>
    <w:next w:val="Normal"/>
    <w:pPr>
      <w:keepNext w:val="1"/>
      <w:keepLines w:val="1"/>
      <w:spacing w:after="320"/>
    </w:pPr>
    <w:rPr>
      <w:color w:val="666666"/>
      <w:sz w:val="30"/>
      <w:szCs w:val="30"/>
    </w:rPr>
  </w:style>
  <w:style w:type="paragraph" w:styleId="Capalera">
    <w:name w:val="header"/>
    <w:basedOn w:val="Normal"/>
    <w:link w:val="CapaleraCar"/>
    <w:uiPriority w:val="99"/>
    <w:unhideWhenUsed w:val="1"/>
    <w:rsid w:val="00A21E87"/>
    <w:pPr>
      <w:tabs>
        <w:tab w:val="center" w:pos="4680"/>
        <w:tab w:val="right" w:pos="9360"/>
      </w:tabs>
    </w:pPr>
  </w:style>
  <w:style w:type="character" w:styleId="CapaleraCar" w:customStyle="1">
    <w:name w:val="Capçalera Car"/>
    <w:basedOn w:val="Tipusdelletraperdefectedelpargraf"/>
    <w:link w:val="Capalera"/>
    <w:uiPriority w:val="99"/>
    <w:rsid w:val="00A21E87"/>
  </w:style>
  <w:style w:type="paragraph" w:styleId="Peu">
    <w:name w:val="footer"/>
    <w:basedOn w:val="Normal"/>
    <w:link w:val="PeuCar"/>
    <w:uiPriority w:val="99"/>
    <w:unhideWhenUsed w:val="1"/>
    <w:rsid w:val="00A21E87"/>
    <w:pPr>
      <w:tabs>
        <w:tab w:val="center" w:pos="4680"/>
        <w:tab w:val="right" w:pos="9360"/>
      </w:tabs>
    </w:pPr>
  </w:style>
  <w:style w:type="character" w:styleId="PeuCar" w:customStyle="1">
    <w:name w:val="Peu Car"/>
    <w:basedOn w:val="Tipusdelletraperdefectedelpargraf"/>
    <w:link w:val="Peu"/>
    <w:uiPriority w:val="99"/>
    <w:rsid w:val="00A21E87"/>
  </w:style>
  <w:style w:type="paragraph" w:styleId="Pargrafdellista">
    <w:name w:val="List Paragraph"/>
    <w:basedOn w:val="Normal"/>
    <w:uiPriority w:val="34"/>
    <w:qFormat w:val="1"/>
    <w:rsid w:val="00420F85"/>
    <w:pPr>
      <w:ind w:left="720"/>
      <w:contextualSpacing w:val="1"/>
    </w:pPr>
  </w:style>
  <w:style w:type="character" w:styleId="Enlla">
    <w:name w:val="Hyperlink"/>
    <w:basedOn w:val="Tipusdelletraperdefectedelpargraf"/>
    <w:uiPriority w:val="99"/>
    <w:unhideWhenUsed w:val="1"/>
    <w:rsid w:val="00420F85"/>
    <w:rPr>
      <w:color w:val="0000ff"/>
      <w:u w:val="single"/>
    </w:rPr>
  </w:style>
  <w:style w:type="character" w:styleId="Nmerodepgina">
    <w:name w:val="page number"/>
    <w:basedOn w:val="Tipusdelletraperdefectedelpargraf"/>
    <w:uiPriority w:val="99"/>
    <w:semiHidden w:val="1"/>
    <w:unhideWhenUsed w:val="1"/>
    <w:rsid w:val="00420F85"/>
  </w:style>
  <w:style w:type="character" w:styleId="ref-lnk" w:customStyle="1">
    <w:name w:val="ref-lnk"/>
    <w:basedOn w:val="Tipusdelletraperdefectedelpargraf"/>
    <w:rsid w:val="00721C9E"/>
  </w:style>
  <w:style w:type="character" w:styleId="singlehighlightclass" w:customStyle="1">
    <w:name w:val="single_highlight_class"/>
    <w:basedOn w:val="Tipusdelletraperdefectedelpargraf"/>
    <w:rsid w:val="00721C9E"/>
  </w:style>
  <w:style w:type="character" w:styleId="searchnone" w:customStyle="1">
    <w:name w:val="searchnone"/>
    <w:basedOn w:val="Tipusdelletraperdefectedelpargraf"/>
    <w:rsid w:val="0039043D"/>
  </w:style>
  <w:style w:type="table" w:styleId="a" w:customStyle="1">
    <w:basedOn w:val="TableNormal4"/>
    <w:tblPr>
      <w:tblStyleRowBandSize w:val="1"/>
      <w:tblStyleColBandSize w:val="1"/>
      <w:tblCellMar>
        <w:top w:w="100.0" w:type="dxa"/>
        <w:left w:w="100.0" w:type="dxa"/>
        <w:bottom w:w="100.0" w:type="dxa"/>
        <w:right w:w="100.0" w:type="dxa"/>
      </w:tblCellMar>
    </w:tblPr>
  </w:style>
  <w:style w:type="table" w:styleId="a0" w:customStyle="1">
    <w:basedOn w:val="TableNormal4"/>
    <w:tblPr>
      <w:tblStyleRowBandSize w:val="1"/>
      <w:tblStyleColBandSize w:val="1"/>
      <w:tblCellMar>
        <w:top w:w="100.0" w:type="dxa"/>
        <w:left w:w="100.0" w:type="dxa"/>
        <w:bottom w:w="100.0" w:type="dxa"/>
        <w:right w:w="100.0" w:type="dxa"/>
      </w:tblCellMar>
    </w:tblPr>
  </w:style>
  <w:style w:type="table" w:styleId="a1" w:customStyle="1">
    <w:basedOn w:val="TableNormal4"/>
    <w:tblPr>
      <w:tblStyleRowBandSize w:val="1"/>
      <w:tblStyleColBandSize w:val="1"/>
      <w:tblCellMar>
        <w:top w:w="100.0" w:type="dxa"/>
        <w:left w:w="100.0" w:type="dxa"/>
        <w:bottom w:w="100.0" w:type="dxa"/>
        <w:right w:w="100.0" w:type="dxa"/>
      </w:tblCellMar>
    </w:tblPr>
  </w:style>
  <w:style w:type="table" w:styleId="a2" w:customStyle="1">
    <w:basedOn w:val="TableNormal4"/>
    <w:tblPr>
      <w:tblStyleRowBandSize w:val="1"/>
      <w:tblStyleColBandSize w:val="1"/>
      <w:tblCellMar>
        <w:top w:w="100.0" w:type="dxa"/>
        <w:left w:w="100.0" w:type="dxa"/>
        <w:bottom w:w="100.0" w:type="dxa"/>
        <w:right w:w="100.0" w:type="dxa"/>
      </w:tblCellMar>
    </w:tblPr>
  </w:style>
  <w:style w:type="table" w:styleId="a3" w:customStyle="1">
    <w:basedOn w:val="TableNormal4"/>
    <w:tblPr>
      <w:tblStyleRowBandSize w:val="1"/>
      <w:tblStyleColBandSize w:val="1"/>
      <w:tblCellMar>
        <w:top w:w="100.0" w:type="dxa"/>
        <w:left w:w="100.0" w:type="dxa"/>
        <w:bottom w:w="100.0" w:type="dxa"/>
        <w:right w:w="100.0" w:type="dxa"/>
      </w:tblCellMar>
    </w:tblPr>
  </w:style>
  <w:style w:type="table" w:styleId="a4" w:customStyle="1">
    <w:basedOn w:val="TableNormal4"/>
    <w:tblPr>
      <w:tblStyleRowBandSize w:val="1"/>
      <w:tblStyleColBandSize w:val="1"/>
      <w:tblCellMar>
        <w:top w:w="100.0" w:type="dxa"/>
        <w:left w:w="100.0" w:type="dxa"/>
        <w:bottom w:w="100.0" w:type="dxa"/>
        <w:right w:w="100.0" w:type="dxa"/>
      </w:tblCellMar>
    </w:tblPr>
  </w:style>
  <w:style w:type="table" w:styleId="a5" w:customStyle="1">
    <w:basedOn w:val="TableNormal4"/>
    <w:tblPr>
      <w:tblStyleRowBandSize w:val="1"/>
      <w:tblStyleColBandSize w:val="1"/>
      <w:tblCellMar>
        <w:top w:w="100.0" w:type="dxa"/>
        <w:left w:w="100.0" w:type="dxa"/>
        <w:bottom w:w="100.0" w:type="dxa"/>
        <w:right w:w="100.0" w:type="dxa"/>
      </w:tblCellMar>
    </w:tblPr>
  </w:style>
  <w:style w:type="paragraph" w:styleId="Textdeglobus">
    <w:name w:val="Balloon Text"/>
    <w:basedOn w:val="Normal"/>
    <w:link w:val="TextdeglobusCar"/>
    <w:uiPriority w:val="99"/>
    <w:semiHidden w:val="1"/>
    <w:unhideWhenUsed w:val="1"/>
    <w:rsid w:val="00156D2B"/>
    <w:rPr>
      <w:rFonts w:ascii="Segoe UI" w:cs="Segoe UI" w:hAnsi="Segoe UI"/>
      <w:sz w:val="18"/>
      <w:szCs w:val="18"/>
    </w:rPr>
  </w:style>
  <w:style w:type="character" w:styleId="TextdeglobusCar" w:customStyle="1">
    <w:name w:val="Text de globus Car"/>
    <w:basedOn w:val="Tipusdelletraperdefectedelpargraf"/>
    <w:link w:val="Textdeglobus"/>
    <w:uiPriority w:val="99"/>
    <w:semiHidden w:val="1"/>
    <w:rsid w:val="00156D2B"/>
    <w:rPr>
      <w:rFonts w:ascii="Segoe UI" w:cs="Segoe UI" w:hAnsi="Segoe UI"/>
      <w:sz w:val="18"/>
      <w:szCs w:val="18"/>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doi.org/10.2478/9788366675643-005" TargetMode="External"/><Relationship Id="rId11" Type="http://schemas.openxmlformats.org/officeDocument/2006/relationships/hyperlink" Target="https://doi.org/10.1080/01587919.2019.1637716" TargetMode="External"/><Relationship Id="rId22" Type="http://schemas.openxmlformats.org/officeDocument/2006/relationships/header" Target="header1.xml"/><Relationship Id="rId10" Type="http://schemas.openxmlformats.org/officeDocument/2006/relationships/hyperlink" Target="https://doi.org/10.1080/02602938.2020.1764490" TargetMode="External"/><Relationship Id="rId21" Type="http://schemas.openxmlformats.org/officeDocument/2006/relationships/hyperlink" Target="https://www.sciendo.com/pl/chapter/9788366675643/10.2478/9788366675643-005" TargetMode="External"/><Relationship Id="rId13" Type="http://schemas.openxmlformats.org/officeDocument/2006/relationships/hyperlink" Target="https://doi.org/10.1109/TLT.2019.2916802" TargetMode="External"/><Relationship Id="rId24" Type="http://schemas.openxmlformats.org/officeDocument/2006/relationships/footer" Target="footer2.xml"/><Relationship Id="rId12" Type="http://schemas.openxmlformats.org/officeDocument/2006/relationships/hyperlink" Target="https://doi.org/10.1111/bjet.12868"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109/TLT.2017.2720670" TargetMode="External"/><Relationship Id="rId15" Type="http://schemas.openxmlformats.org/officeDocument/2006/relationships/hyperlink" Target="https://doi.org/10.1016/j.compedu.2021.104192" TargetMode="External"/><Relationship Id="rId14" Type="http://schemas.openxmlformats.org/officeDocument/2006/relationships/hyperlink" Target="https://doi.org/10.1016/j.chb.2018.05.004" TargetMode="External"/><Relationship Id="rId17" Type="http://schemas.openxmlformats.org/officeDocument/2006/relationships/hyperlink" Target="https://www.sciendo.com/pl/chapter/9788366675643/10.2478/9788366675643-005" TargetMode="External"/><Relationship Id="rId16" Type="http://schemas.openxmlformats.org/officeDocument/2006/relationships/hyperlink" Target="http://dx.doi.org/10.17718/tojde.12984" TargetMode="External"/><Relationship Id="rId5" Type="http://schemas.openxmlformats.org/officeDocument/2006/relationships/styles" Target="styles.xml"/><Relationship Id="rId19" Type="http://schemas.openxmlformats.org/officeDocument/2006/relationships/hyperlink" Target="https://www.sciendo.com/pl/chapter/9788366675643/10.2478/9788366675643-005" TargetMode="External"/><Relationship Id="rId6" Type="http://schemas.openxmlformats.org/officeDocument/2006/relationships/customXml" Target="../customXML/item1.xml"/><Relationship Id="rId18" Type="http://schemas.openxmlformats.org/officeDocument/2006/relationships/hyperlink" Target="https://www.sciendo.com/pl/chapter/9788366675643/10.2478/9788366675643-005" TargetMode="External"/><Relationship Id="rId7" Type="http://schemas.openxmlformats.org/officeDocument/2006/relationships/image" Target="media/image4.png"/><Relationship Id="rId8" Type="http://schemas.openxmlformats.org/officeDocument/2006/relationships/hyperlink" Target="https://doi.org/10.1109/TLT.2017.274017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teacamp.vdu.lt/course/view.php?id=91" TargetMode="External"/><Relationship Id="rId3" Type="http://schemas.openxmlformats.org/officeDocument/2006/relationships/hyperlink" Target="https://teacamp.vdu.lt/course/view.php?id=91" TargetMode="External"/><Relationship Id="rId4" Type="http://schemas.openxmlformats.org/officeDocument/2006/relationships/hyperlink" Target="http://creativecommons.org/licenses/by-sa/4.0/" TargetMode="External"/><Relationship Id="rId5" Type="http://schemas.openxmlformats.org/officeDocument/2006/relationships/hyperlink" Target="http://creativecommons.org/licenses/by-sa/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jBVV8EcYd6rDTTMTq0N3O4pCgA==">CgMxLjAyDmguaXQwdTg1bnQ5b2poMghoLmdqZGd4czIOaC53eGp3bjljdW45c2IyDmgubGxwbjRkYmpsbGl5Mg5oLm5mNjh1N2h4dDVyaTIOaC4zMDU4ZDJ6OWNwbWIyDmguZDA0eHN1dHN2bG41Mg5oLjJqZnUxcTExazNjNTIOaC5yN3U4bmFmY2VscnUyDmgucGZheGIweWVvY3cwOAByITFFWGl2Y0FpOE5NUmZoQllTdjNFT3puREZ3dVdCMF9tQQ==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2022-06-22T11:22:00Z</dcterms:created>
</cp:coreProperties>
</file>